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DD" w:rsidRDefault="00CE09BD">
      <w:pPr>
        <w:spacing w:line="276" w:lineRule="auto"/>
        <w:contextualSpacing/>
        <w:jc w:val="both"/>
        <w:rPr>
          <w:rFonts w:eastAsia="NSimSun"/>
          <w:bCs/>
          <w:kern w:val="2"/>
          <w:sz w:val="20"/>
          <w:szCs w:val="20"/>
          <w:lang w:eastAsia="zh-CN" w:bidi="hi-IN"/>
        </w:rPr>
      </w:pPr>
      <w:r>
        <w:rPr>
          <w:rFonts w:eastAsia="NSimSun"/>
          <w:b/>
          <w:kern w:val="2"/>
          <w:sz w:val="20"/>
          <w:szCs w:val="20"/>
          <w:lang w:eastAsia="zh-CN" w:bidi="hi-IN"/>
        </w:rPr>
        <w:t>Załącznik do Decyzji nr 19</w:t>
      </w:r>
      <w:r w:rsidR="00B552AF">
        <w:rPr>
          <w:rFonts w:eastAsia="NSimSun"/>
          <w:b/>
          <w:kern w:val="2"/>
          <w:sz w:val="20"/>
          <w:szCs w:val="20"/>
          <w:lang w:eastAsia="zh-CN" w:bidi="hi-IN"/>
        </w:rPr>
        <w:t xml:space="preserve"> Komendanta Miejski</w:t>
      </w:r>
      <w:r>
        <w:rPr>
          <w:rFonts w:eastAsia="NSimSun"/>
          <w:b/>
          <w:kern w:val="2"/>
          <w:sz w:val="20"/>
          <w:szCs w:val="20"/>
          <w:lang w:eastAsia="zh-CN" w:bidi="hi-IN"/>
        </w:rPr>
        <w:t>ego Policji w Gdańsku z dnia 23</w:t>
      </w:r>
      <w:r w:rsidR="00B552AF">
        <w:rPr>
          <w:rFonts w:eastAsia="NSimSun"/>
          <w:b/>
          <w:kern w:val="2"/>
          <w:sz w:val="20"/>
          <w:szCs w:val="20"/>
          <w:lang w:eastAsia="zh-CN" w:bidi="hi-IN"/>
        </w:rPr>
        <w:t xml:space="preserve"> grudnia 2024 r. w sprawie</w:t>
      </w:r>
      <w:r w:rsidR="00B552AF">
        <w:rPr>
          <w:rFonts w:eastAsia="NSimSun"/>
          <w:bCs/>
          <w:kern w:val="2"/>
          <w:sz w:val="20"/>
          <w:szCs w:val="20"/>
          <w:lang w:eastAsia="zh-CN" w:bidi="hi-IN"/>
        </w:rPr>
        <w:t xml:space="preserve"> wprowadzenia „Procedury przyjmowania zgłoszeń zewnętrznych oraz podejmowania działań następczych” w </w:t>
      </w:r>
      <w:r w:rsidR="00B552AF" w:rsidRPr="00CE09BD">
        <w:rPr>
          <w:rFonts w:eastAsia="NSimSun"/>
          <w:bCs/>
          <w:kern w:val="2"/>
          <w:sz w:val="20"/>
          <w:szCs w:val="20"/>
          <w:lang w:eastAsia="zh-CN" w:bidi="hi-IN"/>
        </w:rPr>
        <w:t>Komisariacie Policji V</w:t>
      </w:r>
      <w:r w:rsidR="00B552AF">
        <w:rPr>
          <w:rFonts w:eastAsia="NSimSun"/>
          <w:bCs/>
          <w:kern w:val="2"/>
          <w:sz w:val="20"/>
          <w:szCs w:val="20"/>
          <w:lang w:eastAsia="zh-CN" w:bidi="hi-IN"/>
        </w:rPr>
        <w:t xml:space="preserve"> w Gdańsku</w:t>
      </w:r>
    </w:p>
    <w:p w:rsidR="00EE67DD" w:rsidRDefault="00EE67DD">
      <w:pPr>
        <w:spacing w:line="276" w:lineRule="auto"/>
        <w:contextualSpacing/>
        <w:rPr>
          <w:rFonts w:eastAsia="NSimSun"/>
          <w:b/>
          <w:bCs/>
          <w:kern w:val="2"/>
          <w:lang w:eastAsia="zh-CN" w:bidi="hi-IN"/>
        </w:rPr>
      </w:pPr>
    </w:p>
    <w:p w:rsidR="00EE67DD" w:rsidRDefault="00EE67DD">
      <w:pPr>
        <w:spacing w:line="276" w:lineRule="auto"/>
        <w:contextualSpacing/>
        <w:rPr>
          <w:rFonts w:eastAsia="NSimSun"/>
          <w:b/>
          <w:bCs/>
          <w:kern w:val="2"/>
          <w:lang w:eastAsia="zh-CN" w:bidi="hi-IN"/>
        </w:rPr>
      </w:pPr>
    </w:p>
    <w:p w:rsidR="00EE67DD" w:rsidRDefault="00EE67DD">
      <w:pPr>
        <w:spacing w:line="276" w:lineRule="auto"/>
        <w:contextualSpacing/>
        <w:rPr>
          <w:rFonts w:eastAsia="NSimSun"/>
          <w:b/>
          <w:bCs/>
          <w:kern w:val="2"/>
          <w:lang w:eastAsia="zh-CN" w:bidi="hi-IN"/>
        </w:rPr>
      </w:pPr>
      <w:bookmarkStart w:id="0" w:name="_GoBack"/>
      <w:bookmarkEnd w:id="0"/>
    </w:p>
    <w:p w:rsidR="00EE67DD" w:rsidRDefault="00B552AF">
      <w:pPr>
        <w:spacing w:line="276" w:lineRule="auto"/>
        <w:contextualSpacing/>
        <w:jc w:val="center"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 xml:space="preserve">PROCEDURA PRZYJMOWANIA ZGŁOSZEŃ ZEWNĘTRZNYCH ORAZ PODEJMOWANIA DZIAŁAŃ NASTĘPCZYCH W </w:t>
      </w:r>
      <w:r w:rsidRPr="00CE09BD">
        <w:rPr>
          <w:rFonts w:eastAsia="NSimSun"/>
          <w:b/>
          <w:bCs/>
          <w:kern w:val="2"/>
          <w:lang w:eastAsia="zh-CN" w:bidi="hi-IN"/>
        </w:rPr>
        <w:t>KOMISARIACIE POLICJI V</w:t>
      </w:r>
      <w:r>
        <w:rPr>
          <w:rFonts w:eastAsia="NSimSun"/>
          <w:b/>
          <w:bCs/>
          <w:kern w:val="2"/>
          <w:lang w:eastAsia="zh-CN" w:bidi="hi-IN"/>
        </w:rPr>
        <w:t xml:space="preserve">       W GDAŃSKU</w:t>
      </w:r>
    </w:p>
    <w:p w:rsidR="00EE67DD" w:rsidRDefault="00EE67DD">
      <w:pPr>
        <w:spacing w:line="276" w:lineRule="auto"/>
        <w:contextualSpacing/>
        <w:jc w:val="both"/>
        <w:rPr>
          <w:rFonts w:eastAsia="NSimSun"/>
          <w:b/>
          <w:bCs/>
          <w:kern w:val="2"/>
          <w:lang w:eastAsia="zh-CN" w:bidi="hi-IN"/>
        </w:rPr>
      </w:pPr>
    </w:p>
    <w:p w:rsidR="00EE67DD" w:rsidRDefault="00EE67DD">
      <w:pPr>
        <w:spacing w:line="276" w:lineRule="auto"/>
        <w:contextualSpacing/>
        <w:jc w:val="both"/>
        <w:rPr>
          <w:rFonts w:eastAsia="NSimSun"/>
          <w:b/>
          <w:bCs/>
          <w:kern w:val="2"/>
          <w:lang w:eastAsia="zh-CN" w:bidi="hi-IN"/>
        </w:rPr>
      </w:pPr>
    </w:p>
    <w:p w:rsidR="00EE67DD" w:rsidRDefault="00B552AF">
      <w:pPr>
        <w:spacing w:line="276" w:lineRule="auto"/>
        <w:contextualSpacing/>
        <w:jc w:val="center"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Rozdział I</w:t>
      </w:r>
    </w:p>
    <w:p w:rsidR="00EE67DD" w:rsidRDefault="00B552AF">
      <w:pPr>
        <w:spacing w:line="276" w:lineRule="auto"/>
        <w:contextualSpacing/>
        <w:jc w:val="center"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Postanowienia ogólne</w:t>
      </w:r>
    </w:p>
    <w:p w:rsidR="00EE67DD" w:rsidRDefault="00B552AF">
      <w:pPr>
        <w:spacing w:line="360" w:lineRule="auto"/>
        <w:contextualSpacing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§ 1. Cel procedury</w:t>
      </w:r>
    </w:p>
    <w:p w:rsidR="00EE67DD" w:rsidRDefault="00B552AF">
      <w:pPr>
        <w:spacing w:line="276" w:lineRule="auto"/>
        <w:ind w:left="720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Procedura ma na celu ustanowienie jasnych zasad oraz zapewnienie łatwo dostępnych i bezpiecznych kanałów zgłaszania naruszeń prawa, które gwarantują bezstronne rozpatrzenie zgłoszeń oraz ochronę osób zgłaszających (sygnalistów) przed odwetem, dyskryminacją lub innym niesprawiedliwym traktowaniem wynikającym z dokonania zgłoszenia.</w:t>
      </w:r>
    </w:p>
    <w:p w:rsidR="00EE67DD" w:rsidRDefault="00EE67DD">
      <w:pPr>
        <w:spacing w:line="276" w:lineRule="auto"/>
        <w:contextualSpacing/>
        <w:jc w:val="center"/>
        <w:rPr>
          <w:rFonts w:eastAsia="NSimSun"/>
          <w:b/>
          <w:bCs/>
          <w:kern w:val="2"/>
          <w:lang w:eastAsia="zh-CN" w:bidi="hi-IN"/>
        </w:rPr>
      </w:pPr>
    </w:p>
    <w:p w:rsidR="00EE67DD" w:rsidRDefault="00B552AF">
      <w:pPr>
        <w:spacing w:line="360" w:lineRule="auto"/>
        <w:contextualSpacing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§ 2. Definicje</w:t>
      </w:r>
    </w:p>
    <w:p w:rsidR="00EE67DD" w:rsidRDefault="00B552AF">
      <w:pPr>
        <w:spacing w:line="360" w:lineRule="auto"/>
        <w:contextualSpacing/>
        <w:rPr>
          <w:rFonts w:eastAsia="NSimSun"/>
          <w:bCs/>
          <w:kern w:val="2"/>
          <w:lang w:eastAsia="zh-CN" w:bidi="hi-IN"/>
        </w:rPr>
      </w:pPr>
      <w:r>
        <w:rPr>
          <w:rFonts w:eastAsia="NSimSun"/>
          <w:bCs/>
          <w:kern w:val="2"/>
          <w:lang w:eastAsia="zh-CN" w:bidi="hi-IN"/>
        </w:rPr>
        <w:tab/>
        <w:t>Użyte w procedurze określenia oznaczają: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Ustawa</w:t>
      </w:r>
      <w:r>
        <w:rPr>
          <w:rFonts w:eastAsia="NSimSun"/>
          <w:kern w:val="2"/>
          <w:lang w:eastAsia="zh-CN" w:bidi="hi-IN"/>
        </w:rPr>
        <w:t xml:space="preserve"> – należy przez to rozumieć ustawę z dnia 14 czerwca 2024 r. o ochronie sygnalistów (Dz. U. z 2024 r., poz. 928);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RODO</w:t>
      </w:r>
      <w:r>
        <w:rPr>
          <w:rFonts w:eastAsia="NSimSun"/>
          <w:kern w:val="2"/>
          <w:lang w:eastAsia="zh-CN" w:bidi="hi-IN"/>
        </w:rPr>
        <w:t xml:space="preserve"> – należy przez to rozumieć rozporządzenie Parlamentu Europejskiego i Rady (UE) 2016/679 z dnia 27 kwietnia 2016 r. w sprawie ochrony osób fizycznych </w:t>
      </w:r>
      <w:r>
        <w:rPr>
          <w:rFonts w:eastAsia="NSimSun"/>
          <w:kern w:val="2"/>
          <w:lang w:eastAsia="zh-CN" w:bidi="hi-IN"/>
        </w:rPr>
        <w:br/>
        <w:t>w związku z przetwarzaniem danych osobowych i w sprawie swobodnego przepływu takich danych oraz uchylenia dyrektywy 95/46/WE (Dz. U. UE.L.2016.119.1);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Organ publiczny</w:t>
      </w:r>
      <w:r>
        <w:rPr>
          <w:rFonts w:eastAsia="NSimSun"/>
          <w:kern w:val="2"/>
          <w:lang w:eastAsia="zh-CN" w:bidi="hi-IN"/>
        </w:rPr>
        <w:t xml:space="preserve"> –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Zespół ds. Zgodności</w:t>
      </w:r>
      <w:r>
        <w:rPr>
          <w:rFonts w:eastAsia="NSimSun"/>
          <w:kern w:val="2"/>
          <w:lang w:eastAsia="zh-CN" w:bidi="hi-IN"/>
        </w:rPr>
        <w:t xml:space="preserve"> – należy przez to rozumieć nieetatowy zespół osób upoważnionych do rozpoznawania zgłoszeń sygnalistów znajdujący się w </w:t>
      </w:r>
      <w:r w:rsidRPr="00CE09BD">
        <w:rPr>
          <w:rFonts w:eastAsia="NSimSun"/>
          <w:kern w:val="2"/>
          <w:lang w:eastAsia="zh-CN" w:bidi="hi-IN"/>
        </w:rPr>
        <w:t>Komisariacie Policji V w Gdańsku (KP V);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Koordynator ds. Zgodności</w:t>
      </w:r>
      <w:r>
        <w:rPr>
          <w:rFonts w:eastAsia="NSimSun"/>
          <w:kern w:val="2"/>
          <w:lang w:eastAsia="zh-CN" w:bidi="hi-IN"/>
        </w:rPr>
        <w:t xml:space="preserve"> – należy przez to rozumieć osobę koordynującą pracę Zespołu ds. Zgodności bądź wyznaczony zastępca;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 xml:space="preserve">Osoba uprawniona </w:t>
      </w:r>
      <w:r>
        <w:rPr>
          <w:rFonts w:eastAsia="NSimSun"/>
          <w:kern w:val="2"/>
          <w:lang w:eastAsia="zh-CN" w:bidi="hi-IN"/>
        </w:rPr>
        <w:t>– należy przez to rozumieć osobę upoważnioną do przyjmowania zgłoszeń naruszenia prawa;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 xml:space="preserve">Procedura </w:t>
      </w:r>
      <w:r>
        <w:rPr>
          <w:rFonts w:eastAsia="NSimSun"/>
          <w:kern w:val="2"/>
          <w:lang w:eastAsia="zh-CN" w:bidi="hi-IN"/>
        </w:rPr>
        <w:t>– należy przez to rozumieć procedurę przyjmowania zgłoszeń zewnętrznych oraz podejmowania działań następczych;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lastRenderedPageBreak/>
        <w:t>Kontekst związany z pracą/służbą</w:t>
      </w:r>
      <w:r>
        <w:rPr>
          <w:rFonts w:eastAsia="NSimSun"/>
          <w:kern w:val="2"/>
          <w:lang w:eastAsia="zh-CN" w:bidi="hi-IN"/>
        </w:rPr>
        <w:t xml:space="preserve"> – należy przez to rozumieć przeszłe, obecne </w:t>
      </w:r>
      <w:r>
        <w:rPr>
          <w:rFonts w:eastAsia="NSimSun"/>
          <w:kern w:val="2"/>
          <w:lang w:eastAsia="zh-CN" w:bidi="hi-IN"/>
        </w:rPr>
        <w:br/>
        <w:t>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ramach, których uzyskano informację o naruszeniu prawa oraz istnieje możliwość doświadczenia działań odwetowych;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Naruszenie prawa</w:t>
      </w:r>
      <w:r>
        <w:rPr>
          <w:rFonts w:eastAsia="NSimSun"/>
          <w:kern w:val="2"/>
          <w:lang w:eastAsia="zh-CN" w:bidi="hi-IN"/>
        </w:rPr>
        <w:t xml:space="preserve"> – należy przez to rozumieć działanie lub zaniechanie niezgodne </w:t>
      </w:r>
      <w:r>
        <w:rPr>
          <w:rFonts w:eastAsia="NSimSun"/>
          <w:kern w:val="2"/>
          <w:lang w:eastAsia="zh-CN" w:bidi="hi-IN"/>
        </w:rPr>
        <w:br/>
        <w:t xml:space="preserve">z prawem lub mające na celu obejście prawa, dotyczące obszarów wskazanych </w:t>
      </w:r>
      <w:r>
        <w:rPr>
          <w:rFonts w:eastAsia="NSimSun"/>
          <w:kern w:val="2"/>
          <w:lang w:eastAsia="zh-CN" w:bidi="hi-IN"/>
        </w:rPr>
        <w:br/>
        <w:t>w § 3 ust.1 Procedury;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Sygnalista</w:t>
      </w:r>
      <w:r>
        <w:rPr>
          <w:rFonts w:eastAsia="NSimSun"/>
          <w:kern w:val="2"/>
          <w:lang w:eastAsia="zh-CN" w:bidi="hi-IN"/>
        </w:rPr>
        <w:t xml:space="preserve"> – należy przez to rozumieć osoba fizyczna, która dokonuje zgłoszenia </w:t>
      </w:r>
      <w:r>
        <w:rPr>
          <w:rFonts w:eastAsia="NSimSun"/>
          <w:kern w:val="2"/>
          <w:lang w:eastAsia="zh-CN" w:bidi="hi-IN"/>
        </w:rPr>
        <w:br/>
        <w:t>o naruszeniu prawa w kontekście związanym z pracą, niezależnie od zajmowanego stanowiska, formy zatrudnienia czy współpracy;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Osoba pomagająca</w:t>
      </w:r>
      <w:r>
        <w:rPr>
          <w:rFonts w:eastAsia="NSimSun"/>
          <w:kern w:val="2"/>
          <w:lang w:eastAsia="zh-CN" w:bidi="hi-IN"/>
        </w:rPr>
        <w:t xml:space="preserve"> – należy przez to rozumieć osobę, która wspiera sygnalistę </w:t>
      </w:r>
      <w:r>
        <w:rPr>
          <w:rFonts w:eastAsia="NSimSun"/>
          <w:kern w:val="2"/>
          <w:lang w:eastAsia="zh-CN" w:bidi="hi-IN"/>
        </w:rPr>
        <w:br/>
        <w:t>w dokonaniu zgłoszenia i może doświadczać działań odwetowych;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Osoba, której dotyczy zgłoszenie</w:t>
      </w:r>
      <w:r>
        <w:rPr>
          <w:rFonts w:eastAsia="NSimSun"/>
          <w:kern w:val="2"/>
          <w:lang w:eastAsia="zh-CN" w:bidi="hi-IN"/>
        </w:rPr>
        <w:t xml:space="preserve"> – należy przez to rozumieć osobę wskazaną </w:t>
      </w:r>
      <w:r>
        <w:rPr>
          <w:rFonts w:eastAsia="NSimSun"/>
          <w:kern w:val="2"/>
          <w:lang w:eastAsia="zh-CN" w:bidi="hi-IN"/>
        </w:rPr>
        <w:br/>
        <w:t>w zgłoszeniu jako osoba, która dopuściła się naruszenia prawa;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 xml:space="preserve">Zgłoszenie </w:t>
      </w:r>
      <w:r>
        <w:rPr>
          <w:rFonts w:eastAsia="NSimSun"/>
          <w:kern w:val="2"/>
          <w:lang w:eastAsia="zh-CN" w:bidi="hi-IN"/>
        </w:rPr>
        <w:t xml:space="preserve">– należy przez to rozumieć informację o naruszeniu prawa, dokonane </w:t>
      </w:r>
      <w:r>
        <w:rPr>
          <w:rFonts w:eastAsia="NSimSun"/>
          <w:kern w:val="2"/>
          <w:lang w:eastAsia="zh-CN" w:bidi="hi-IN"/>
        </w:rPr>
        <w:br/>
        <w:t>za pośrednictwem przeznaczonych do tego kanałów komunikacji do organu publicznego;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 xml:space="preserve">Zgłoszenie zewnętrzne </w:t>
      </w:r>
      <w:r>
        <w:rPr>
          <w:rFonts w:eastAsia="NSimSun"/>
          <w:kern w:val="2"/>
          <w:lang w:eastAsia="zh-CN" w:bidi="hi-IN"/>
        </w:rPr>
        <w:t xml:space="preserve">– należy przez to rozumieć zgłoszenie skierowane </w:t>
      </w:r>
      <w:r>
        <w:rPr>
          <w:rFonts w:eastAsia="NSimSun"/>
          <w:kern w:val="2"/>
          <w:lang w:eastAsia="zh-CN" w:bidi="hi-IN"/>
        </w:rPr>
        <w:br/>
        <w:t>do organów zewnętrznych, takich jak Rzecznik Praw Obywatelskich lub innych organów publicznych;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 xml:space="preserve">Zgłoszenie wewnętrzne </w:t>
      </w:r>
      <w:r>
        <w:rPr>
          <w:rFonts w:eastAsia="NSimSun"/>
          <w:kern w:val="2"/>
          <w:lang w:eastAsia="zh-CN" w:bidi="hi-IN"/>
        </w:rPr>
        <w:t xml:space="preserve">– należy przez to rozumieć zgłoszenie skierowane </w:t>
      </w:r>
      <w:r>
        <w:rPr>
          <w:rFonts w:eastAsia="NSimSun"/>
          <w:kern w:val="2"/>
          <w:lang w:eastAsia="zh-CN" w:bidi="hi-IN"/>
        </w:rPr>
        <w:br/>
        <w:t>do pracodawcy za pośrednictwem dedykowanych kanałów zgłoszeniowych;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 xml:space="preserve">Informacja zwrotna </w:t>
      </w:r>
      <w:r>
        <w:rPr>
          <w:rFonts w:eastAsia="NSimSun"/>
          <w:kern w:val="2"/>
          <w:lang w:eastAsia="zh-CN" w:bidi="hi-IN"/>
        </w:rPr>
        <w:t>– należy przez to rozumieć informację przekazywane sygnaliście o podjętych lub planowanych działaniach następczych;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color w:val="000000" w:themeColor="text1"/>
          <w:kern w:val="2"/>
          <w:lang w:eastAsia="zh-CN" w:bidi="hi-IN"/>
        </w:rPr>
        <w:t>Działanie następcze</w:t>
      </w:r>
      <w:r>
        <w:rPr>
          <w:rFonts w:eastAsia="NSimSun"/>
          <w:b/>
          <w:bCs/>
          <w:kern w:val="2"/>
          <w:lang w:eastAsia="zh-CN" w:bidi="hi-IN"/>
        </w:rPr>
        <w:t xml:space="preserve"> </w:t>
      </w:r>
      <w:r>
        <w:rPr>
          <w:rFonts w:eastAsia="NSimSun"/>
          <w:kern w:val="2"/>
          <w:lang w:eastAsia="zh-CN" w:bidi="hi-IN"/>
        </w:rPr>
        <w:t xml:space="preserve">– należy przez to rozumieć działania podejmowane </w:t>
      </w:r>
      <w:r>
        <w:rPr>
          <w:rFonts w:eastAsia="NSimSun"/>
          <w:kern w:val="2"/>
          <w:lang w:eastAsia="zh-CN" w:bidi="hi-IN"/>
        </w:rPr>
        <w:br/>
        <w:t xml:space="preserve">w odpowiedzi na zgłoszenie, mające na celu zweryfikowanie informacji zawartych </w:t>
      </w:r>
      <w:r>
        <w:rPr>
          <w:rFonts w:eastAsia="NSimSun"/>
          <w:kern w:val="2"/>
          <w:lang w:eastAsia="zh-CN" w:bidi="hi-IN"/>
        </w:rPr>
        <w:br/>
        <w:t>w zgłoszeniu;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Działania odwetowe</w:t>
      </w:r>
      <w:r>
        <w:rPr>
          <w:rFonts w:eastAsia="NSimSun"/>
          <w:kern w:val="2"/>
          <w:lang w:eastAsia="zh-CN" w:bidi="hi-IN"/>
        </w:rPr>
        <w:t xml:space="preserve"> – należy przez to rozumieć bezpośrednie lub pośrednie działanie lub zaniechanie w kontekście związanym z pracą, które jest spowodowane zgłoszeniem, i które narusza lub może naruszyć prawa sygnalisty lub wyrządza, </w:t>
      </w:r>
      <w:r>
        <w:rPr>
          <w:rFonts w:eastAsia="NSimSun"/>
          <w:kern w:val="2"/>
          <w:lang w:eastAsia="zh-CN" w:bidi="hi-IN"/>
        </w:rPr>
        <w:br/>
        <w:t>lub może wyrządzić sygnaliście nieuzasadnioną szkodę, w tym bezpodstawne inicjowanie postępowań przeciwko sygnaliście;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 xml:space="preserve">Kanał zgłoszenia </w:t>
      </w:r>
      <w:r>
        <w:rPr>
          <w:rFonts w:eastAsia="NSimSun"/>
          <w:kern w:val="2"/>
          <w:lang w:eastAsia="zh-CN" w:bidi="hi-IN"/>
        </w:rPr>
        <w:t>– należy przez to rozumieć techniczne i organizacyjne rozwiązania umożliwiające dokonywanie zgłoszenia;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Ujawnienie publiczne</w:t>
      </w:r>
      <w:r>
        <w:rPr>
          <w:rFonts w:eastAsia="NSimSun"/>
          <w:kern w:val="2"/>
          <w:lang w:eastAsia="zh-CN" w:bidi="hi-IN"/>
        </w:rPr>
        <w:t xml:space="preserve"> – należy przez to rozumieć podanie informacji o naruszeniu prawa do wiadomości publicznej;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 xml:space="preserve">Anonim </w:t>
      </w:r>
      <w:r>
        <w:rPr>
          <w:rFonts w:eastAsia="NSimSun"/>
          <w:kern w:val="2"/>
          <w:lang w:eastAsia="zh-CN" w:bidi="hi-IN"/>
        </w:rPr>
        <w:t>– należy przez to rozumieć zgłoszenie niezawierające imienia i nazwiska oraz adresu;</w:t>
      </w:r>
    </w:p>
    <w:p w:rsidR="00EE67D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k.p.a.</w:t>
      </w:r>
      <w:r>
        <w:rPr>
          <w:rFonts w:eastAsia="NSimSun"/>
          <w:kern w:val="2"/>
          <w:lang w:eastAsia="zh-CN" w:bidi="hi-IN"/>
        </w:rPr>
        <w:t xml:space="preserve"> – należy przez to rozumieć ustawę z dnia 14 czerwca 1960 roku Kodeks postępowania administracyjnego (Dz.U.2024.572);</w:t>
      </w:r>
    </w:p>
    <w:p w:rsidR="00EE67DD" w:rsidRPr="00CE09BD" w:rsidRDefault="00B552AF">
      <w:pPr>
        <w:numPr>
          <w:ilvl w:val="0"/>
          <w:numId w:val="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 w:rsidRPr="00CE09BD">
        <w:rPr>
          <w:b/>
        </w:rPr>
        <w:t>Komendant KP V</w:t>
      </w:r>
      <w:r>
        <w:t xml:space="preserve"> – należy przez to rozumieć </w:t>
      </w:r>
      <w:r w:rsidRPr="00CE09BD">
        <w:t xml:space="preserve">Komendanta Komisariatu Policji V </w:t>
      </w:r>
    </w:p>
    <w:p w:rsidR="00EE67DD" w:rsidRPr="00CE09BD" w:rsidRDefault="00B552AF">
      <w:pPr>
        <w:spacing w:line="276" w:lineRule="auto"/>
        <w:ind w:left="720"/>
        <w:contextualSpacing/>
        <w:jc w:val="both"/>
        <w:rPr>
          <w:rFonts w:eastAsia="NSimSun"/>
          <w:kern w:val="2"/>
          <w:lang w:eastAsia="zh-CN" w:bidi="hi-IN"/>
        </w:rPr>
      </w:pPr>
      <w:r w:rsidRPr="00CE09BD">
        <w:t>w Gdańsku.</w:t>
      </w:r>
    </w:p>
    <w:p w:rsidR="00EE67DD" w:rsidRDefault="00B552AF">
      <w:pPr>
        <w:spacing w:beforeAutospacing="1" w:line="360" w:lineRule="auto"/>
        <w:jc w:val="both"/>
        <w:rPr>
          <w:b/>
          <w:bCs/>
        </w:rPr>
      </w:pPr>
      <w:r>
        <w:rPr>
          <w:b/>
          <w:bCs/>
        </w:rPr>
        <w:lastRenderedPageBreak/>
        <w:t>§ 3. Naruszenia prawa podlegające zgłoszeniu</w:t>
      </w:r>
    </w:p>
    <w:p w:rsidR="00EE67DD" w:rsidRDefault="00B552AF">
      <w:pPr>
        <w:spacing w:line="276" w:lineRule="auto"/>
        <w:ind w:left="720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Informacje zgłaszane przez Sygnalistę dotyczą: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korupcji;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zamówień publicznych; 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usług, produktów i rynków finansowych; 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zapobiegania praniu pieniędzy i finansowaniu terroryzmu;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bezpieczeństwa produktów i ich zgodności z wymogami;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bezpieczeństwa transportu; 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ochrony środowiska;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ochrony radiologicznej i bezpieczeństwa jądrowego; 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bezpieczeństwa żywności i pasz; 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zdrowia i dobrostanu zwierząt; 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zdrowia publicznego; 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ochrony konsumentów; 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ochrony prywatności i danych osobowych; 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bezpieczeństwa sieci i systemów teleinformatycznych; 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interesów finansowych Skarbu Państwa Rzeczpospolitej Polskiej, jednostki samorządu terytorialnego oraz Unii Europejskiej; 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rynku wewnętrznego Unii Europejskiej, w tym publicznoprawnych zasad konkurencji i pomocy państwa oraz opodatkowania osób prawnych;</w:t>
      </w:r>
    </w:p>
    <w:p w:rsidR="00EE67DD" w:rsidRDefault="00B552AF">
      <w:pPr>
        <w:numPr>
          <w:ilvl w:val="0"/>
          <w:numId w:val="8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konstytucyjnych wolności oraz praw człowieka i obywatela występujących </w:t>
      </w:r>
      <w:r>
        <w:rPr>
          <w:rFonts w:eastAsia="NSimSun"/>
          <w:kern w:val="2"/>
          <w:lang w:eastAsia="zh-CN" w:bidi="hi-IN"/>
        </w:rPr>
        <w:br/>
        <w:t xml:space="preserve">w stosunkach jednostki z organami władzy publicznej i nie związanych </w:t>
      </w:r>
      <w:r>
        <w:rPr>
          <w:rFonts w:eastAsia="NSimSun"/>
          <w:kern w:val="2"/>
          <w:lang w:eastAsia="zh-CN" w:bidi="hi-IN"/>
        </w:rPr>
        <w:br/>
        <w:t>z dziedzinami wskazanymi powyżej.</w:t>
      </w:r>
    </w:p>
    <w:p w:rsidR="00EE67DD" w:rsidRDefault="00EE67DD">
      <w:p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</w:p>
    <w:p w:rsidR="00EE67DD" w:rsidRDefault="00EE67DD">
      <w:p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</w:p>
    <w:p w:rsidR="00EE67DD" w:rsidRDefault="00B552AF">
      <w:pPr>
        <w:spacing w:line="276" w:lineRule="auto"/>
        <w:contextualSpacing/>
        <w:jc w:val="center"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Rozdział II</w:t>
      </w:r>
    </w:p>
    <w:p w:rsidR="00EE67DD" w:rsidRDefault="00B552AF">
      <w:pPr>
        <w:spacing w:line="276" w:lineRule="auto"/>
        <w:contextualSpacing/>
        <w:jc w:val="center"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Sposoby dokonywania zgłoszeń zewnętrznych</w:t>
      </w:r>
    </w:p>
    <w:p w:rsidR="00EE67DD" w:rsidRDefault="00B552AF">
      <w:pPr>
        <w:spacing w:beforeAutospacing="1" w:line="360" w:lineRule="auto"/>
        <w:jc w:val="both"/>
        <w:rPr>
          <w:b/>
          <w:bCs/>
        </w:rPr>
      </w:pPr>
      <w:r>
        <w:rPr>
          <w:b/>
          <w:bCs/>
        </w:rPr>
        <w:t>§ 4. Kanały zgłoszeń zewnętrznych</w:t>
      </w:r>
    </w:p>
    <w:p w:rsidR="00EE67DD" w:rsidRDefault="00B552AF">
      <w:pPr>
        <w:numPr>
          <w:ilvl w:val="0"/>
          <w:numId w:val="5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Zgłoszenie zewnętrzne może być dokonane za pomocą następujących kanałów:</w:t>
      </w:r>
    </w:p>
    <w:p w:rsidR="00EE67DD" w:rsidRDefault="00B552AF">
      <w:pPr>
        <w:numPr>
          <w:ilvl w:val="0"/>
          <w:numId w:val="1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ustnie;</w:t>
      </w:r>
    </w:p>
    <w:p w:rsidR="00EE67DD" w:rsidRDefault="00B552AF">
      <w:pPr>
        <w:numPr>
          <w:ilvl w:val="0"/>
          <w:numId w:val="1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pisemnie.</w:t>
      </w:r>
    </w:p>
    <w:p w:rsidR="00EE67DD" w:rsidRDefault="00B552AF">
      <w:pPr>
        <w:pStyle w:val="Akapitzlist"/>
        <w:numPr>
          <w:ilvl w:val="0"/>
          <w:numId w:val="5"/>
        </w:numPr>
        <w:spacing w:line="276" w:lineRule="auto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Zgłoszenie ustne:</w:t>
      </w:r>
    </w:p>
    <w:p w:rsidR="00EE67DD" w:rsidRDefault="00B552AF">
      <w:pPr>
        <w:numPr>
          <w:ilvl w:val="1"/>
          <w:numId w:val="10"/>
        </w:numPr>
        <w:spacing w:line="276" w:lineRule="auto"/>
        <w:jc w:val="both"/>
      </w:pPr>
      <w:r>
        <w:t xml:space="preserve">sygnalista, po wyrażeniu zgody na nagrywanie w przedstawionej formie komunikatu głosowego, może dokonać zgłoszenia ustnego telefonicznego </w:t>
      </w:r>
      <w:r>
        <w:br/>
        <w:t xml:space="preserve">pod numerem </w:t>
      </w:r>
      <w:r w:rsidRPr="00CE09BD">
        <w:t>47 74 13 575</w:t>
      </w:r>
      <w:r>
        <w:t xml:space="preserve">, </w:t>
      </w:r>
      <w:r>
        <w:rPr>
          <w:rFonts w:eastAsia="Times New Roman" w:cstheme="minorHAnsi"/>
        </w:rPr>
        <w:t xml:space="preserve">który znajduje się w pokoju 220 </w:t>
      </w:r>
      <w:r w:rsidRPr="00CE09BD">
        <w:rPr>
          <w:rFonts w:eastAsia="Times New Roman" w:cstheme="minorHAnsi"/>
        </w:rPr>
        <w:t>w sekretariacie</w:t>
      </w:r>
      <w:r>
        <w:rPr>
          <w:rFonts w:eastAsia="Times New Roman" w:cstheme="minorHAnsi"/>
          <w:color w:val="FF0000"/>
        </w:rPr>
        <w:t xml:space="preserve"> </w:t>
      </w:r>
      <w:r w:rsidRPr="00CE09BD">
        <w:rPr>
          <w:rFonts w:eastAsia="Times New Roman" w:cstheme="minorHAnsi"/>
        </w:rPr>
        <w:t>Komendanta Komisariatu Policji V w Gdańsku</w:t>
      </w:r>
      <w:r>
        <w:t>, w godzinach 9.00-13.00, od poniedziałku do piątku, z wyłączeniem dni wolnych od pracy;</w:t>
      </w:r>
    </w:p>
    <w:p w:rsidR="00EE67DD" w:rsidRDefault="00B552AF">
      <w:pPr>
        <w:numPr>
          <w:ilvl w:val="1"/>
          <w:numId w:val="10"/>
        </w:numPr>
        <w:spacing w:line="276" w:lineRule="auto"/>
        <w:jc w:val="both"/>
      </w:pPr>
      <w:r>
        <w:t>zgłoszenie to jest nagrywane. Do akt sprawy dołączane będzie nagranie rozmowy na nośniku elektronicznym;</w:t>
      </w:r>
    </w:p>
    <w:p w:rsidR="00EE67DD" w:rsidRDefault="00B552AF">
      <w:pPr>
        <w:numPr>
          <w:ilvl w:val="1"/>
          <w:numId w:val="10"/>
        </w:numPr>
        <w:spacing w:line="276" w:lineRule="auto"/>
        <w:jc w:val="both"/>
      </w:pPr>
      <w:r>
        <w:t xml:space="preserve">na wniosek sygnalisty, możliwe jest zorganizowanie spotkania w celu dokonania zgłoszenia ustnego. Spotkanie zostanie zorganizowane w terminie </w:t>
      </w:r>
      <w:r>
        <w:lastRenderedPageBreak/>
        <w:t xml:space="preserve">14 dni od dnia otrzymania wniosku. Zgłoszenie dokonane podczas spotkania będzie dokumentowane w formie: </w:t>
      </w:r>
    </w:p>
    <w:p w:rsidR="00EE67DD" w:rsidRDefault="00B552AF">
      <w:pPr>
        <w:spacing w:line="276" w:lineRule="auto"/>
        <w:ind w:left="2124"/>
        <w:jc w:val="both"/>
        <w:rPr>
          <w:color w:val="FF0000"/>
        </w:rPr>
      </w:pPr>
      <w:r>
        <w:t>Protokołu Przyjęcia Zgłoszenia Zewnętrznego – przyjętego przez osobę uprawnioną. Protokół stanowi załącznik nr 1 do procedury;</w:t>
      </w:r>
    </w:p>
    <w:p w:rsidR="00EE67DD" w:rsidRDefault="00B552AF">
      <w:pPr>
        <w:numPr>
          <w:ilvl w:val="1"/>
          <w:numId w:val="10"/>
        </w:numPr>
        <w:spacing w:line="276" w:lineRule="auto"/>
        <w:jc w:val="both"/>
      </w:pPr>
      <w:r>
        <w:t>sygnalista sprawdza i zatwierdza zgodność treści zawartej w protokole poprzez jego podpisanie.</w:t>
      </w:r>
    </w:p>
    <w:p w:rsidR="00EE67DD" w:rsidRDefault="00B552AF">
      <w:pPr>
        <w:pStyle w:val="Akapitzlist"/>
        <w:numPr>
          <w:ilvl w:val="0"/>
          <w:numId w:val="5"/>
        </w:numPr>
        <w:spacing w:line="276" w:lineRule="auto"/>
        <w:jc w:val="both"/>
      </w:pPr>
      <w:r>
        <w:rPr>
          <w:bCs/>
        </w:rPr>
        <w:t>Zgłoszenia pisemne</w:t>
      </w:r>
      <w:r>
        <w:t xml:space="preserve"> mogą być dokonywane przy użyciu Formularza Zgłoszenia Zewnętrznego stanowiącego załącznik nr 2 do procedury</w:t>
      </w:r>
      <w:r>
        <w:rPr>
          <w:bCs/>
        </w:rPr>
        <w:t>:</w:t>
      </w:r>
    </w:p>
    <w:p w:rsidR="00EE67DD" w:rsidRDefault="00B552AF">
      <w:pPr>
        <w:pStyle w:val="Akapitzlist"/>
        <w:numPr>
          <w:ilvl w:val="2"/>
          <w:numId w:val="5"/>
        </w:numPr>
        <w:spacing w:line="276" w:lineRule="auto"/>
        <w:ind w:left="1418" w:hanging="284"/>
        <w:jc w:val="both"/>
        <w:rPr>
          <w:color w:val="FF0000"/>
        </w:rPr>
      </w:pPr>
      <w:r>
        <w:t>w formie papierowej – dostarczając w zamkniętej kopercie z dopiskiem „</w:t>
      </w:r>
      <w:r>
        <w:rPr>
          <w:i/>
        </w:rPr>
        <w:t>Zgłoszenie zewnętrzne</w:t>
      </w:r>
      <w:r>
        <w:t xml:space="preserve">” do </w:t>
      </w:r>
      <w:r w:rsidRPr="00CE09BD">
        <w:t>Komisariatu Policji V w Gdańsku, ul. Obrońców wybrzeża 19, 80-398 Gdańsk;</w:t>
      </w:r>
    </w:p>
    <w:p w:rsidR="00EE67DD" w:rsidRDefault="00B552AF">
      <w:pPr>
        <w:pStyle w:val="Akapitzlist"/>
        <w:numPr>
          <w:ilvl w:val="2"/>
          <w:numId w:val="5"/>
        </w:numPr>
        <w:spacing w:line="276" w:lineRule="auto"/>
        <w:ind w:left="1418" w:hanging="284"/>
        <w:jc w:val="both"/>
      </w:pPr>
      <w:r>
        <w:t xml:space="preserve">listownie – przesyłając je na adres: </w:t>
      </w:r>
      <w:r w:rsidRPr="00CE09BD">
        <w:t xml:space="preserve">Gdańsk, ul. Obrońców Wybrzeża 19, 80 -398 Gdańsk </w:t>
      </w:r>
      <w:r>
        <w:t>– z dopiskiem „</w:t>
      </w:r>
      <w:r w:rsidRPr="00CE09BD">
        <w:rPr>
          <w:i/>
        </w:rPr>
        <w:t>Komendant Komisariatu Policji V w Gdańsku</w:t>
      </w:r>
      <w:r>
        <w:rPr>
          <w:i/>
        </w:rPr>
        <w:t xml:space="preserve"> – Zgłoszenie do rąk własnych”</w:t>
      </w:r>
      <w:r>
        <w:t>;</w:t>
      </w:r>
    </w:p>
    <w:p w:rsidR="00EE67DD" w:rsidRDefault="00B552AF">
      <w:pPr>
        <w:pStyle w:val="Akapitzlist"/>
        <w:numPr>
          <w:ilvl w:val="2"/>
          <w:numId w:val="5"/>
        </w:numPr>
        <w:spacing w:line="276" w:lineRule="auto"/>
        <w:ind w:left="1418" w:hanging="284"/>
        <w:jc w:val="both"/>
      </w:pPr>
      <w:r>
        <w:t xml:space="preserve">w formie elektronicznej – na adres e-mail: </w:t>
      </w:r>
      <w:r w:rsidRPr="00CE09BD">
        <w:rPr>
          <w:rFonts w:eastAsia="Times New Roman" w:cstheme="minorHAnsi"/>
          <w:b/>
        </w:rPr>
        <w:t>sygnalisci.kp5.gdansk@gd.policja.gov.pl</w:t>
      </w:r>
      <w:r w:rsidRPr="00CE09BD">
        <w:t>.</w:t>
      </w:r>
    </w:p>
    <w:p w:rsidR="00EE67DD" w:rsidRDefault="00B552AF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Dostęp do skrzynki e-mail posiada </w:t>
      </w:r>
      <w:r w:rsidRPr="00CE09BD">
        <w:t>Komendant Komisariatu Policji V w Gdańsku, Zastępca Komendanta Komisariatu Policji V w Gdańsku</w:t>
      </w:r>
      <w:r>
        <w:t xml:space="preserve"> oraz Koordynator </w:t>
      </w:r>
    </w:p>
    <w:p w:rsidR="00EE67DD" w:rsidRDefault="00B552AF">
      <w:pPr>
        <w:pStyle w:val="Akapitzlist"/>
        <w:spacing w:line="276" w:lineRule="auto"/>
        <w:jc w:val="both"/>
      </w:pPr>
      <w:r>
        <w:t>ds. Zgodności i jego Zastępcy;</w:t>
      </w:r>
    </w:p>
    <w:p w:rsidR="00EE67DD" w:rsidRDefault="00B552AF">
      <w:pPr>
        <w:spacing w:beforeAutospacing="1" w:line="360" w:lineRule="auto"/>
        <w:jc w:val="both"/>
        <w:rPr>
          <w:b/>
          <w:bCs/>
        </w:rPr>
      </w:pPr>
      <w:r>
        <w:rPr>
          <w:b/>
          <w:bCs/>
        </w:rPr>
        <w:t>§ 5. Zgłoszenia nadesłane innymi kanałami</w:t>
      </w:r>
    </w:p>
    <w:p w:rsidR="00EE67DD" w:rsidRDefault="00B552AF">
      <w:pPr>
        <w:pStyle w:val="Akapitzlist"/>
        <w:numPr>
          <w:ilvl w:val="3"/>
          <w:numId w:val="10"/>
        </w:numPr>
        <w:spacing w:line="276" w:lineRule="auto"/>
        <w:ind w:left="709"/>
        <w:jc w:val="both"/>
        <w:rPr>
          <w:rFonts w:asciiTheme="minorHAnsi" w:hAnsiTheme="minorHAnsi" w:hint="eastAsia"/>
          <w:sz w:val="22"/>
          <w:szCs w:val="22"/>
          <w:lang w:eastAsia="en-US"/>
        </w:rPr>
      </w:pPr>
      <w:r>
        <w:t xml:space="preserve">Wszystkie zgłoszenia otrzymane poza dedykowanymi kanałami traktowane są jako priorytetowe i niezwłocznie przekazywane do Koordynatora ds. Zgodności. W takim przypadku zgłoszenie jest oceniane pod kątem zgodności z wymogami ustawy </w:t>
      </w:r>
      <w:r>
        <w:br/>
        <w:t>o ochronie sygnalistów, a jeśli spełnia kryteria zewnętrznego zgłoszenia naruszenia prawa, zgłaszający jest kierowany do kontaktu za pośrednictwem właściwego kanału zgłoszeniowego, co zapewnia dalszy proces w pełnej poufności.</w:t>
      </w:r>
    </w:p>
    <w:p w:rsidR="00EE67DD" w:rsidRDefault="00B552AF">
      <w:pPr>
        <w:pStyle w:val="Akapitzlist"/>
        <w:numPr>
          <w:ilvl w:val="3"/>
          <w:numId w:val="10"/>
        </w:numPr>
        <w:spacing w:line="276" w:lineRule="auto"/>
        <w:ind w:left="709"/>
        <w:jc w:val="both"/>
        <w:rPr>
          <w:rFonts w:asciiTheme="minorHAnsi" w:hAnsiTheme="minorHAnsi" w:hint="eastAsia"/>
          <w:sz w:val="22"/>
          <w:szCs w:val="22"/>
          <w:lang w:eastAsia="en-US"/>
        </w:rPr>
      </w:pPr>
      <w:r>
        <w:t xml:space="preserve">Zgłaszający, decydując się na korzystanie z kanałów zgłoszeniowych innych </w:t>
      </w:r>
      <w:r>
        <w:br/>
        <w:t xml:space="preserve">niż dedykowane, zostaje poinformowany o potencjalnych zagrożeniach związanych </w:t>
      </w:r>
      <w:r>
        <w:br/>
        <w:t>z brakiem zapewnienia poufności, co może prowadzić do ujawnienia jego tożsamości.</w:t>
      </w:r>
    </w:p>
    <w:p w:rsidR="00EE67DD" w:rsidRDefault="00EE67DD">
      <w:pPr>
        <w:pStyle w:val="Akapitzlist"/>
        <w:spacing w:line="276" w:lineRule="auto"/>
        <w:ind w:left="709"/>
        <w:jc w:val="both"/>
        <w:rPr>
          <w:rFonts w:asciiTheme="minorHAnsi" w:hAnsiTheme="minorHAnsi" w:hint="eastAsia"/>
          <w:sz w:val="22"/>
          <w:szCs w:val="22"/>
          <w:lang w:eastAsia="en-US"/>
        </w:rPr>
      </w:pPr>
    </w:p>
    <w:p w:rsidR="00EE67DD" w:rsidRDefault="00EE67DD">
      <w:pPr>
        <w:pStyle w:val="Akapitzlist"/>
        <w:spacing w:line="276" w:lineRule="auto"/>
        <w:ind w:left="709"/>
        <w:jc w:val="both"/>
        <w:rPr>
          <w:kern w:val="2"/>
        </w:rPr>
      </w:pPr>
    </w:p>
    <w:p w:rsidR="00EE67DD" w:rsidRDefault="00B552AF">
      <w:pPr>
        <w:spacing w:line="276" w:lineRule="auto"/>
        <w:ind w:left="340"/>
        <w:contextualSpacing/>
        <w:jc w:val="center"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Rozdział III</w:t>
      </w:r>
    </w:p>
    <w:p w:rsidR="00EE67DD" w:rsidRDefault="00B552AF">
      <w:pPr>
        <w:spacing w:line="276" w:lineRule="auto"/>
        <w:ind w:left="340"/>
        <w:contextualSpacing/>
        <w:jc w:val="center"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Zewnętrzne zgłoszenia naruszeń prawa oraz działania następcze</w:t>
      </w:r>
    </w:p>
    <w:p w:rsidR="00EE67DD" w:rsidRDefault="00B552AF">
      <w:pPr>
        <w:spacing w:beforeAutospacing="1" w:line="360" w:lineRule="auto"/>
        <w:jc w:val="both"/>
        <w:rPr>
          <w:b/>
          <w:bCs/>
        </w:rPr>
      </w:pPr>
      <w:r>
        <w:rPr>
          <w:b/>
          <w:bCs/>
        </w:rPr>
        <w:t>§ 6. Zgłoszenia</w:t>
      </w:r>
    </w:p>
    <w:p w:rsidR="00EE67DD" w:rsidRDefault="00B552AF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Zgłoszenie może dotyczyć uzasadnionego podejrzenia zaistnienia lub możliwości zaistnienia naruszenia prawa, do którego doszło lub prawdopodobnie dojdzie </w:t>
      </w:r>
      <w:r>
        <w:rPr>
          <w:rFonts w:eastAsia="NSimSun"/>
          <w:kern w:val="2"/>
          <w:lang w:eastAsia="zh-CN" w:bidi="hi-IN"/>
        </w:rPr>
        <w:br/>
        <w:t xml:space="preserve">w organizacji w obszarze wskazanym w </w:t>
      </w:r>
      <w:r>
        <w:t>§ 3 procedury</w:t>
      </w:r>
      <w:r>
        <w:rPr>
          <w:rFonts w:eastAsia="NSimSun"/>
          <w:kern w:val="2"/>
          <w:lang w:eastAsia="zh-CN" w:bidi="hi-IN"/>
        </w:rPr>
        <w:t>.</w:t>
      </w:r>
    </w:p>
    <w:p w:rsidR="00EE67DD" w:rsidRDefault="00B552AF">
      <w:pPr>
        <w:numPr>
          <w:ilvl w:val="0"/>
          <w:numId w:val="3"/>
        </w:numPr>
        <w:spacing w:line="276" w:lineRule="auto"/>
        <w:contextualSpacing/>
        <w:jc w:val="both"/>
        <w:rPr>
          <w:rFonts w:eastAsia="NSimSun"/>
          <w:b/>
          <w:bCs/>
          <w:color w:val="000000" w:themeColor="text1"/>
          <w:kern w:val="2"/>
          <w:lang w:eastAsia="zh-CN" w:bidi="hi-IN"/>
        </w:rPr>
      </w:pPr>
      <w:r>
        <w:rPr>
          <w:rFonts w:eastAsia="NSimSun"/>
          <w:color w:val="000000" w:themeColor="text1"/>
          <w:kern w:val="2"/>
          <w:lang w:eastAsia="zh-CN" w:bidi="hi-IN"/>
        </w:rPr>
        <w:t xml:space="preserve">Zgłoszenia dotyczące obszarów nieobjętych ustawą oraz zgłoszenia wyczerpujące znamiona przestępstw bądź wykroczeń są wyłączone z niniejszej procedury </w:t>
      </w:r>
      <w:r>
        <w:rPr>
          <w:rFonts w:eastAsia="NSimSun"/>
          <w:color w:val="000000" w:themeColor="text1"/>
          <w:kern w:val="2"/>
          <w:lang w:eastAsia="zh-CN" w:bidi="hi-IN"/>
        </w:rPr>
        <w:br/>
        <w:t>i podlegają odrębnym przepisom regulującym ich rozpatrywanie.</w:t>
      </w:r>
    </w:p>
    <w:p w:rsidR="00EE67DD" w:rsidRDefault="00B552AF">
      <w:pPr>
        <w:numPr>
          <w:ilvl w:val="0"/>
          <w:numId w:val="3"/>
        </w:numPr>
        <w:spacing w:line="276" w:lineRule="auto"/>
        <w:contextualSpacing/>
        <w:jc w:val="both"/>
        <w:rPr>
          <w:rFonts w:eastAsia="NSimSun"/>
          <w:color w:val="000000" w:themeColor="text1"/>
          <w:kern w:val="2"/>
          <w:lang w:eastAsia="zh-CN" w:bidi="hi-IN"/>
        </w:rPr>
      </w:pPr>
      <w:r>
        <w:rPr>
          <w:rFonts w:eastAsia="NSimSun"/>
          <w:color w:val="000000" w:themeColor="text1"/>
          <w:kern w:val="2"/>
          <w:lang w:eastAsia="zh-CN" w:bidi="hi-IN"/>
        </w:rPr>
        <w:lastRenderedPageBreak/>
        <w:t>Zgłoszenia zewnętrzne należy składać za pomocą Formularza Zgłoszenia Zewnętrznego.</w:t>
      </w:r>
    </w:p>
    <w:p w:rsidR="00EE67DD" w:rsidRDefault="00B552AF">
      <w:pPr>
        <w:numPr>
          <w:ilvl w:val="0"/>
          <w:numId w:val="3"/>
        </w:numPr>
        <w:spacing w:line="276" w:lineRule="auto"/>
        <w:contextualSpacing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Zgłoszenie powinno zawierać przynajmniej następujące informacje:</w:t>
      </w:r>
    </w:p>
    <w:p w:rsidR="00EE67DD" w:rsidRDefault="00B552AF">
      <w:pPr>
        <w:numPr>
          <w:ilvl w:val="0"/>
          <w:numId w:val="2"/>
        </w:numPr>
        <w:spacing w:line="276" w:lineRule="auto"/>
        <w:ind w:left="1418" w:hanging="284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określenia rodzaju zgłoszenia (zewnętrzne);</w:t>
      </w:r>
    </w:p>
    <w:p w:rsidR="00EE67DD" w:rsidRDefault="00B552AF">
      <w:pPr>
        <w:numPr>
          <w:ilvl w:val="0"/>
          <w:numId w:val="2"/>
        </w:numPr>
        <w:spacing w:line="276" w:lineRule="auto"/>
        <w:ind w:left="1418" w:hanging="284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szczegółowy opis zgłaszanego naruszenia prawa, w tym, kiedy, gdzie, w jaki sposób doszło do naruszenia prawa;</w:t>
      </w:r>
    </w:p>
    <w:p w:rsidR="00EE67DD" w:rsidRDefault="00B552AF">
      <w:pPr>
        <w:numPr>
          <w:ilvl w:val="0"/>
          <w:numId w:val="2"/>
        </w:numPr>
        <w:spacing w:line="276" w:lineRule="auto"/>
        <w:ind w:left="1418" w:hanging="284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wskazanie obszaru naruszenia prawa zawartego w </w:t>
      </w:r>
      <w:r>
        <w:t>§ 3 procedury</w:t>
      </w:r>
      <w:r>
        <w:rPr>
          <w:rFonts w:eastAsia="NSimSun"/>
          <w:kern w:val="2"/>
          <w:lang w:eastAsia="zh-CN" w:bidi="hi-IN"/>
        </w:rPr>
        <w:t>;</w:t>
      </w:r>
    </w:p>
    <w:p w:rsidR="00EE67DD" w:rsidRDefault="00B552AF">
      <w:pPr>
        <w:numPr>
          <w:ilvl w:val="0"/>
          <w:numId w:val="2"/>
        </w:numPr>
        <w:spacing w:line="276" w:lineRule="auto"/>
        <w:ind w:left="1418" w:hanging="284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wskazanie danych osoby, która dokonała, zamierza dokonać naruszenia prawa;</w:t>
      </w:r>
    </w:p>
    <w:p w:rsidR="00EE67DD" w:rsidRDefault="00B552AF">
      <w:pPr>
        <w:numPr>
          <w:ilvl w:val="0"/>
          <w:numId w:val="2"/>
        </w:numPr>
        <w:spacing w:line="276" w:lineRule="auto"/>
        <w:ind w:left="1418" w:hanging="284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dowody na poparcie zgłoszenia (jeśli są dostępne);</w:t>
      </w:r>
    </w:p>
    <w:p w:rsidR="00EE67DD" w:rsidRDefault="00B552AF">
      <w:pPr>
        <w:numPr>
          <w:ilvl w:val="0"/>
          <w:numId w:val="2"/>
        </w:numPr>
        <w:spacing w:line="276" w:lineRule="auto"/>
        <w:ind w:left="1418" w:hanging="284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w celu otrzymania informacji zwrotnej dotyczącej zgłoszenia oraz uzyskania informacji o ostatecznym wyniku postępowania wyjaśniającego wszczętego </w:t>
      </w:r>
      <w:r>
        <w:rPr>
          <w:rFonts w:eastAsia="NSimSun"/>
          <w:kern w:val="2"/>
          <w:lang w:eastAsia="zh-CN" w:bidi="hi-IN"/>
        </w:rPr>
        <w:br/>
        <w:t xml:space="preserve">w związku z dokonanym zgłoszeniem, Sygnalista wskazuje swoje dane, </w:t>
      </w:r>
      <w:r>
        <w:rPr>
          <w:rFonts w:eastAsia="NSimSun"/>
          <w:kern w:val="2"/>
          <w:lang w:eastAsia="zh-CN" w:bidi="hi-IN"/>
        </w:rPr>
        <w:br/>
        <w:t>tj. imię, nazwisko oraz adres do kontaktu.</w:t>
      </w:r>
    </w:p>
    <w:p w:rsidR="00EE67DD" w:rsidRDefault="00B552AF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Zgłoszenie może być dokonane </w:t>
      </w:r>
      <w:r>
        <w:rPr>
          <w:rFonts w:eastAsia="NSimSun"/>
          <w:b/>
          <w:bCs/>
          <w:kern w:val="2"/>
          <w:lang w:eastAsia="zh-CN" w:bidi="hi-IN"/>
        </w:rPr>
        <w:t>wyłącznie w dobrej wierze</w:t>
      </w:r>
      <w:r>
        <w:rPr>
          <w:rFonts w:eastAsia="NSimSun"/>
          <w:kern w:val="2"/>
          <w:lang w:eastAsia="zh-CN" w:bidi="hi-IN"/>
        </w:rPr>
        <w:t>. Osoba dokonująca zgłoszenia wiedząc, że do naruszenia prawa nie doszło podlega grzywnie, karze ograniczenia wolności lub pozbawienia wolności do lat 2 (art. 57 Ustawy).</w:t>
      </w:r>
    </w:p>
    <w:p w:rsidR="00EE67DD" w:rsidRDefault="00B552AF">
      <w:pPr>
        <w:numPr>
          <w:ilvl w:val="0"/>
          <w:numId w:val="3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Zgłoszenia </w:t>
      </w:r>
      <w:r>
        <w:rPr>
          <w:rFonts w:eastAsia="NSimSun"/>
          <w:b/>
          <w:bCs/>
          <w:color w:val="000000" w:themeColor="text1"/>
          <w:kern w:val="2"/>
          <w:lang w:eastAsia="zh-CN" w:bidi="hi-IN"/>
        </w:rPr>
        <w:t>anonimowe</w:t>
      </w:r>
      <w:r>
        <w:rPr>
          <w:rFonts w:eastAsia="NSimSun"/>
          <w:kern w:val="2"/>
          <w:lang w:eastAsia="zh-CN" w:bidi="hi-IN"/>
        </w:rPr>
        <w:t xml:space="preserve"> nie są rozpatrywane w trybie Ustawy.</w:t>
      </w:r>
    </w:p>
    <w:p w:rsidR="00EE67DD" w:rsidRDefault="00B552AF">
      <w:pPr>
        <w:numPr>
          <w:ilvl w:val="0"/>
          <w:numId w:val="3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Zgłoszenie jest rejestrowane w rejestrze zgłoszeń zewnętrznych, który zawiera następujące dane:</w:t>
      </w:r>
    </w:p>
    <w:p w:rsidR="00EE67DD" w:rsidRDefault="00B552AF">
      <w:pPr>
        <w:numPr>
          <w:ilvl w:val="0"/>
          <w:numId w:val="9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numer zgłoszenia;</w:t>
      </w:r>
    </w:p>
    <w:p w:rsidR="00EE67DD" w:rsidRDefault="00B552AF">
      <w:pPr>
        <w:numPr>
          <w:ilvl w:val="0"/>
          <w:numId w:val="9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przedmiot naruszenia prawa;</w:t>
      </w:r>
    </w:p>
    <w:p w:rsidR="00EE67DD" w:rsidRDefault="00B552AF">
      <w:pPr>
        <w:numPr>
          <w:ilvl w:val="0"/>
          <w:numId w:val="9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dane osobowe Sygnalisty oraz osoby, której dotyczy zgłoszenie, niezbędne do identyfikacji tych osób;</w:t>
      </w:r>
    </w:p>
    <w:p w:rsidR="00EE67DD" w:rsidRDefault="00B552AF">
      <w:pPr>
        <w:numPr>
          <w:ilvl w:val="0"/>
          <w:numId w:val="9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datę dokonania zgłoszenia;</w:t>
      </w:r>
    </w:p>
    <w:p w:rsidR="00EE67DD" w:rsidRDefault="00B552AF">
      <w:pPr>
        <w:numPr>
          <w:ilvl w:val="0"/>
          <w:numId w:val="9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informację o podjętych działaniach następczych;</w:t>
      </w:r>
    </w:p>
    <w:p w:rsidR="00EE67DD" w:rsidRDefault="00B552AF">
      <w:pPr>
        <w:numPr>
          <w:ilvl w:val="0"/>
          <w:numId w:val="9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informację o wydaniu zaświadczenia, o którym mowa art. 38 Ustawy;</w:t>
      </w:r>
    </w:p>
    <w:p w:rsidR="00EE67DD" w:rsidRDefault="00B552AF">
      <w:pPr>
        <w:numPr>
          <w:ilvl w:val="0"/>
          <w:numId w:val="9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datę zakończenia sprawy;</w:t>
      </w:r>
    </w:p>
    <w:p w:rsidR="00EE67DD" w:rsidRDefault="00B552AF">
      <w:pPr>
        <w:numPr>
          <w:ilvl w:val="0"/>
          <w:numId w:val="9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informacje o niepodejmowaniu dalszych działań, o których mowa w art. 40 ust. 2 Ustawy;</w:t>
      </w:r>
    </w:p>
    <w:p w:rsidR="00EE67DD" w:rsidRDefault="00B552AF">
      <w:pPr>
        <w:numPr>
          <w:ilvl w:val="0"/>
          <w:numId w:val="9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szacunkową szkodę majątkową, jeżeli została stwierdzona oraz kwoty odzyskane w wyniku postępowań dotyczących naruszenia, które było przedmiotem zgłoszenia.</w:t>
      </w:r>
    </w:p>
    <w:p w:rsidR="00EE67DD" w:rsidRDefault="00B552AF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Dane osobowe oraz pozostałe informacje zawarte w rejestrze zgłoszeń zewnętrznych są przechowywane przez okres 3 lat po zakończeniu roku kalendarzowego, w którym zakończono działania następcze, lub po zakończeniu postępowań zainicjowanych tymi działaniami;</w:t>
      </w:r>
    </w:p>
    <w:p w:rsidR="00EE67DD" w:rsidRDefault="00B552AF">
      <w:pPr>
        <w:numPr>
          <w:ilvl w:val="0"/>
          <w:numId w:val="3"/>
        </w:numPr>
        <w:spacing w:line="276" w:lineRule="auto"/>
        <w:contextualSpacing/>
        <w:jc w:val="both"/>
        <w:rPr>
          <w:rFonts w:eastAsia="NSimSun"/>
          <w:i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Za prowadzenie Rejestru Zgłoszeń odpowiada </w:t>
      </w:r>
      <w:r>
        <w:rPr>
          <w:rFonts w:eastAsia="NSimSun"/>
          <w:bCs/>
          <w:i/>
          <w:kern w:val="2"/>
          <w:lang w:eastAsia="zh-CN" w:bidi="hi-IN"/>
        </w:rPr>
        <w:t xml:space="preserve">Koordynator ds. Zgodności </w:t>
      </w:r>
      <w:r w:rsidRPr="00CE09BD">
        <w:rPr>
          <w:rFonts w:eastAsia="NSimSun"/>
          <w:bCs/>
          <w:i/>
          <w:kern w:val="2"/>
          <w:lang w:eastAsia="zh-CN" w:bidi="hi-IN"/>
        </w:rPr>
        <w:t>Komisariatu Policji V w Gdańsku</w:t>
      </w:r>
      <w:r>
        <w:rPr>
          <w:rFonts w:eastAsia="NSimSun"/>
          <w:bCs/>
          <w:i/>
          <w:kern w:val="2"/>
          <w:lang w:eastAsia="zh-CN" w:bidi="hi-IN"/>
        </w:rPr>
        <w:t>.</w:t>
      </w:r>
    </w:p>
    <w:p w:rsidR="00EE67DD" w:rsidRDefault="00B552AF">
      <w:pPr>
        <w:spacing w:beforeAutospacing="1" w:line="360" w:lineRule="auto"/>
        <w:jc w:val="both"/>
        <w:rPr>
          <w:b/>
          <w:bCs/>
        </w:rPr>
      </w:pPr>
      <w:r>
        <w:rPr>
          <w:b/>
          <w:bCs/>
        </w:rPr>
        <w:t>§ 7. Działania następcze</w:t>
      </w:r>
    </w:p>
    <w:p w:rsidR="00EE67DD" w:rsidRDefault="00B552AF">
      <w:pPr>
        <w:numPr>
          <w:ilvl w:val="0"/>
          <w:numId w:val="1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Cs/>
          <w:kern w:val="2"/>
          <w:lang w:eastAsia="zh-CN" w:bidi="hi-IN"/>
        </w:rPr>
        <w:t xml:space="preserve">Zgłoszenia naruszeń prawa są przyjmowane i weryfikowane przez Koordynatora </w:t>
      </w:r>
      <w:r>
        <w:rPr>
          <w:rFonts w:eastAsia="NSimSun"/>
          <w:bCs/>
          <w:kern w:val="2"/>
          <w:lang w:eastAsia="zh-CN" w:bidi="hi-IN"/>
        </w:rPr>
        <w:br/>
        <w:t>ds. Zgodnośc</w:t>
      </w:r>
      <w:r>
        <w:rPr>
          <w:rFonts w:eastAsia="NSimSun"/>
          <w:bCs/>
          <w:i/>
          <w:kern w:val="2"/>
          <w:lang w:eastAsia="zh-CN" w:bidi="hi-IN"/>
        </w:rPr>
        <w:t xml:space="preserve">i </w:t>
      </w:r>
      <w:r>
        <w:rPr>
          <w:rFonts w:eastAsia="NSimSun"/>
          <w:bCs/>
          <w:kern w:val="2"/>
          <w:lang w:eastAsia="zh-CN" w:bidi="hi-IN"/>
        </w:rPr>
        <w:t>bądź w przypadku jego nieobecności upoważnionych pracowników Zespołu ds. Zgodności.</w:t>
      </w:r>
    </w:p>
    <w:p w:rsidR="00EE67DD" w:rsidRDefault="00B552AF">
      <w:pPr>
        <w:numPr>
          <w:ilvl w:val="0"/>
          <w:numId w:val="1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Cs/>
          <w:kern w:val="2"/>
          <w:lang w:eastAsia="zh-CN" w:bidi="hi-IN"/>
        </w:rPr>
        <w:lastRenderedPageBreak/>
        <w:t xml:space="preserve">W ramach czynności, organ może zbierać dodatkowe informacje, w tym zwrócić </w:t>
      </w:r>
      <w:r>
        <w:rPr>
          <w:rFonts w:eastAsia="NSimSun"/>
          <w:bCs/>
          <w:kern w:val="2"/>
          <w:lang w:eastAsia="zh-CN" w:bidi="hi-IN"/>
        </w:rPr>
        <w:br/>
        <w:t>się do Sygnalisty, na podany adres do kontaktu, o wyjaśnienia lub dodatkowe informacje, jakie mogą być w posiadaniu Sygnalisty.</w:t>
      </w:r>
    </w:p>
    <w:p w:rsidR="00EE67DD" w:rsidRDefault="00B552AF">
      <w:pPr>
        <w:numPr>
          <w:ilvl w:val="0"/>
          <w:numId w:val="1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Jeżeli wstępna weryfikacja wykaże, że zgłoszenie nie dotyczy naruszenia prawa, organ poinformuje osobę dokonującą zgłoszenia o odstąpieniu od jego rozpatrywania oraz poda przyczynę tej decyzji. Dodatkowo, w odpowiedzi organ może </w:t>
      </w:r>
      <w:r>
        <w:rPr>
          <w:rFonts w:eastAsia="NSimSun"/>
          <w:kern w:val="2"/>
          <w:lang w:eastAsia="zh-CN" w:bidi="hi-IN"/>
        </w:rPr>
        <w:br/>
        <w:t xml:space="preserve">wskazać odpowiednią procedurę przewidzianą w odrębnych przepisach oraz, jeśli </w:t>
      </w:r>
      <w:r>
        <w:rPr>
          <w:rFonts w:eastAsia="NSimSun"/>
          <w:kern w:val="2"/>
          <w:lang w:eastAsia="zh-CN" w:bidi="hi-IN"/>
        </w:rPr>
        <w:br/>
        <w:t xml:space="preserve">jest to możliwe, wskazać właściwy organ do rozpoznania sprawy. </w:t>
      </w:r>
    </w:p>
    <w:p w:rsidR="00EE67DD" w:rsidRDefault="00B552AF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NSimSun"/>
          <w:bCs/>
          <w:kern w:val="2"/>
          <w:lang w:eastAsia="zh-CN" w:bidi="hi-IN"/>
        </w:rPr>
      </w:pPr>
      <w:r>
        <w:rPr>
          <w:lang w:eastAsia="zh-CN" w:bidi="hi-IN"/>
        </w:rPr>
        <w:t>W przypadku, gdy wstępna ocena zgłoszenia wykaże, że zawiera ono informacje, które na mocy odrębnych przepisów podlegają przekazaniu do odpowiednich instytucji, organów lub jednostek organizacyjnych Unii Europejskiej, Koordynator realizuje obowiązek określony w art. 39 ust. 4 Ustawy.</w:t>
      </w:r>
    </w:p>
    <w:p w:rsidR="00EE67DD" w:rsidRDefault="00B552AF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NSimSun"/>
          <w:bCs/>
          <w:kern w:val="2"/>
          <w:lang w:eastAsia="zh-CN" w:bidi="hi-IN"/>
        </w:rPr>
      </w:pPr>
      <w:r>
        <w:rPr>
          <w:rFonts w:eastAsia="NSimSun"/>
          <w:bCs/>
          <w:kern w:val="2"/>
          <w:lang w:eastAsia="zh-CN" w:bidi="hi-IN"/>
        </w:rPr>
        <w:t xml:space="preserve">Jeżeli wstępna weryfikacja zgłoszenia wykaże, że Komendant </w:t>
      </w:r>
      <w:r w:rsidRPr="00CE09BD">
        <w:rPr>
          <w:rFonts w:eastAsia="NSimSun"/>
          <w:bCs/>
          <w:kern w:val="2"/>
          <w:lang w:eastAsia="zh-CN" w:bidi="hi-IN"/>
        </w:rPr>
        <w:t>Komisariatu Policji V</w:t>
      </w:r>
      <w:r>
        <w:rPr>
          <w:rFonts w:eastAsia="NSimSun"/>
          <w:bCs/>
          <w:kern w:val="2"/>
          <w:lang w:eastAsia="zh-CN" w:bidi="hi-IN"/>
        </w:rPr>
        <w:t xml:space="preserve"> </w:t>
      </w:r>
      <w:r>
        <w:rPr>
          <w:rFonts w:eastAsia="NSimSun"/>
          <w:bCs/>
          <w:kern w:val="2"/>
          <w:lang w:eastAsia="zh-CN" w:bidi="hi-IN"/>
        </w:rPr>
        <w:br/>
        <w:t>w Gdańsku jest właściwym organem do jego rozpatrzenia, Koordynator przekaże sygnaliście potwierdzenie przyjęcia zgłoszenia w terminie 7 dni od jego otrzymania,</w:t>
      </w:r>
      <w:r>
        <w:t xml:space="preserve"> </w:t>
      </w:r>
      <w:r>
        <w:br/>
      </w:r>
      <w:r>
        <w:rPr>
          <w:rFonts w:eastAsia="NSimSun"/>
          <w:bCs/>
          <w:kern w:val="2"/>
          <w:lang w:eastAsia="zh-CN" w:bidi="hi-IN"/>
        </w:rPr>
        <w:t xml:space="preserve">o ile organ nie otrzymał sprzeciwu na wysłanie potwierdzenia. </w:t>
      </w:r>
    </w:p>
    <w:p w:rsidR="00EE67DD" w:rsidRDefault="00B552AF">
      <w:pPr>
        <w:numPr>
          <w:ilvl w:val="0"/>
          <w:numId w:val="14"/>
        </w:numPr>
        <w:spacing w:line="276" w:lineRule="auto"/>
        <w:contextualSpacing/>
        <w:jc w:val="both"/>
        <w:rPr>
          <w:rFonts w:eastAsia="NSimSun"/>
          <w:color w:val="000000" w:themeColor="text1"/>
          <w:kern w:val="2"/>
          <w:lang w:eastAsia="zh-CN" w:bidi="hi-IN"/>
        </w:rPr>
      </w:pPr>
      <w:r>
        <w:rPr>
          <w:rFonts w:eastAsia="NSimSun"/>
          <w:color w:val="000000" w:themeColor="text1"/>
          <w:kern w:val="2"/>
          <w:lang w:eastAsia="zh-CN" w:bidi="hi-IN"/>
        </w:rPr>
        <w:t>Organ nie przekaże informacji o przyjęciu zgłoszenia, jeśli będzie miał uzasadnione podstawy, by sądzić, że mogłoby to zagrozić ochronie poufności tożsamości Sygnalisty. Adnotację taką umieszcza się w aktach sprawy.</w:t>
      </w:r>
    </w:p>
    <w:p w:rsidR="00EE67DD" w:rsidRDefault="00B552AF">
      <w:pPr>
        <w:numPr>
          <w:ilvl w:val="0"/>
          <w:numId w:val="14"/>
        </w:numPr>
        <w:spacing w:line="276" w:lineRule="auto"/>
        <w:contextualSpacing/>
        <w:jc w:val="both"/>
        <w:rPr>
          <w:rFonts w:eastAsia="NSimSun"/>
          <w:color w:val="FF0000"/>
          <w:kern w:val="2"/>
          <w:lang w:eastAsia="zh-CN" w:bidi="hi-IN"/>
        </w:rPr>
      </w:pPr>
      <w:r>
        <w:rPr>
          <w:rFonts w:eastAsia="NSimSun"/>
          <w:bCs/>
          <w:kern w:val="2"/>
          <w:lang w:eastAsia="zh-CN" w:bidi="hi-IN"/>
        </w:rPr>
        <w:t xml:space="preserve">W przypadku, gdy zgłoszenie dotyczy naruszeń prawa w dziedzinie nienależącej </w:t>
      </w:r>
      <w:r>
        <w:rPr>
          <w:rFonts w:eastAsia="NSimSun"/>
          <w:bCs/>
          <w:kern w:val="2"/>
          <w:lang w:eastAsia="zh-CN" w:bidi="hi-IN"/>
        </w:rPr>
        <w:br/>
        <w:t xml:space="preserve">do zakresu działania organu, organ przekaże je niezwłocznie, nie później jednak </w:t>
      </w:r>
      <w:r>
        <w:rPr>
          <w:rFonts w:eastAsia="NSimSun"/>
          <w:bCs/>
          <w:kern w:val="2"/>
          <w:lang w:eastAsia="zh-CN" w:bidi="hi-IN"/>
        </w:rPr>
        <w:br/>
        <w:t xml:space="preserve">niż w terminie 14 dni od dnia dokonania zgłoszenia, a w uzasadnionych przypadkach – nie później niż w terminie 30 dni, do organu publicznego właściwego do podjęcia działań następczych. </w:t>
      </w:r>
    </w:p>
    <w:p w:rsidR="00EE67DD" w:rsidRDefault="00B552AF">
      <w:pPr>
        <w:numPr>
          <w:ilvl w:val="0"/>
          <w:numId w:val="1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Cs/>
          <w:kern w:val="2"/>
          <w:lang w:eastAsia="zh-CN" w:bidi="hi-IN"/>
        </w:rPr>
        <w:t xml:space="preserve">Organ może odstąpić od podjęcia działań następczych w przypadku, gdy zgłoszenie dotyczy sprawy, która była już przedmiotem wcześniejszego zgłoszenia (od tego samego lub innego Sygnalisty), i nie zawiera, w porównaniu z wcześniejszym zgłoszeniem, istotnych bądź nowych informacji dotyczących naruszenia prawa. </w:t>
      </w:r>
      <w:r>
        <w:rPr>
          <w:rFonts w:eastAsia="NSimSun"/>
          <w:bCs/>
          <w:kern w:val="2"/>
          <w:lang w:eastAsia="zh-CN" w:bidi="hi-IN"/>
        </w:rPr>
        <w:br/>
        <w:t xml:space="preserve">W takiej sytuacji organ poinformuje zgłaszającego o odstąpieniu od działań. </w:t>
      </w:r>
      <w:r>
        <w:rPr>
          <w:rFonts w:eastAsia="NSimSun"/>
          <w:bCs/>
          <w:kern w:val="2"/>
          <w:lang w:eastAsia="zh-CN" w:bidi="hi-IN"/>
        </w:rPr>
        <w:br/>
        <w:t>W przypadku kolejnych zgłoszeń dotyczących tej samej sprawy organ może pozostawić je bez rozpoznania i bez przekazywania informacji zwrotnej.</w:t>
      </w:r>
    </w:p>
    <w:p w:rsidR="00EE67DD" w:rsidRDefault="00B552AF">
      <w:pPr>
        <w:numPr>
          <w:ilvl w:val="0"/>
          <w:numId w:val="1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bCs/>
          <w:kern w:val="2"/>
          <w:lang w:eastAsia="zh-CN" w:bidi="hi-IN"/>
        </w:rPr>
        <w:t xml:space="preserve">Informacja o przyjęciu, przekazaniu oraz odrzuceniu zgłoszenia stanowi załącznik </w:t>
      </w:r>
      <w:r>
        <w:rPr>
          <w:rFonts w:eastAsia="NSimSun"/>
          <w:bCs/>
          <w:kern w:val="2"/>
          <w:lang w:eastAsia="zh-CN" w:bidi="hi-IN"/>
        </w:rPr>
        <w:br/>
        <w:t>nr 3 do procedury.</w:t>
      </w:r>
    </w:p>
    <w:p w:rsidR="00EE67DD" w:rsidRDefault="00B552AF">
      <w:pPr>
        <w:numPr>
          <w:ilvl w:val="0"/>
          <w:numId w:val="14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Zgłoszenia zakwalifikowane jako zewnętrzne zgłoszenia naruszeń prawa organ odnotowuje w rejestrze zgłoszeń zewnętrznych, którego wzór stanowi załącznik </w:t>
      </w:r>
      <w:r>
        <w:rPr>
          <w:rFonts w:eastAsia="NSimSun"/>
          <w:kern w:val="2"/>
          <w:lang w:eastAsia="zh-CN" w:bidi="hi-IN"/>
        </w:rPr>
        <w:br/>
        <w:t>nr 4 do procedury.</w:t>
      </w:r>
    </w:p>
    <w:p w:rsidR="00EE67DD" w:rsidRDefault="00B552AF">
      <w:pPr>
        <w:pStyle w:val="Akapitzlist"/>
        <w:numPr>
          <w:ilvl w:val="0"/>
          <w:numId w:val="14"/>
        </w:numPr>
        <w:spacing w:line="276" w:lineRule="auto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Organ przekaże Sygnaliście informację zwrotną w terminie nieprzekraczającym </w:t>
      </w:r>
      <w:r>
        <w:rPr>
          <w:rFonts w:eastAsia="NSimSun"/>
          <w:kern w:val="2"/>
          <w:lang w:eastAsia="zh-CN" w:bidi="hi-IN"/>
        </w:rPr>
        <w:br/>
        <w:t>3 miesięcy od dnia przyjęcia zgłoszenia, a w uzasadnionych przypadkach w terminie nieprzekraczającym 6 miesięcy od dnia przyjęcia zgłoszenia.</w:t>
      </w:r>
    </w:p>
    <w:p w:rsidR="00EE67DD" w:rsidRDefault="00EE67DD">
      <w:pPr>
        <w:pStyle w:val="Akapitzlist"/>
        <w:spacing w:line="276" w:lineRule="auto"/>
        <w:jc w:val="both"/>
        <w:rPr>
          <w:rFonts w:eastAsia="NSimSun"/>
          <w:kern w:val="2"/>
          <w:lang w:eastAsia="zh-CN" w:bidi="hi-IN"/>
        </w:rPr>
      </w:pPr>
    </w:p>
    <w:p w:rsidR="00EE67DD" w:rsidRDefault="00B552AF">
      <w:pPr>
        <w:spacing w:line="276" w:lineRule="auto"/>
        <w:contextualSpacing/>
        <w:jc w:val="both"/>
        <w:rPr>
          <w:b/>
          <w:bCs/>
        </w:rPr>
      </w:pPr>
      <w:r>
        <w:rPr>
          <w:b/>
          <w:bCs/>
        </w:rPr>
        <w:t>§ 8. Sposób postępowania ze zgłoszeniami zewnętrznymi</w:t>
      </w:r>
    </w:p>
    <w:p w:rsidR="00EE67DD" w:rsidRDefault="00B552AF">
      <w:pPr>
        <w:pStyle w:val="Akapitzlist"/>
        <w:numPr>
          <w:ilvl w:val="0"/>
          <w:numId w:val="17"/>
        </w:numPr>
        <w:spacing w:line="276" w:lineRule="auto"/>
        <w:jc w:val="both"/>
      </w:pPr>
      <w:r>
        <w:t xml:space="preserve">Koordynator Zespołu ds. Zgodności lub osoba przez niego wyznaczona, wchodząca </w:t>
      </w:r>
      <w:r>
        <w:br/>
        <w:t>w skład Zespołu, podejmuje działania następcze w odniesieniu do zgłoszenia zewnętrznego, z zachowaniem należytej staranności</w:t>
      </w:r>
      <w:r>
        <w:rPr>
          <w:rFonts w:eastAsia="NSimSun"/>
          <w:kern w:val="2"/>
          <w:lang w:eastAsia="zh-CN" w:bidi="hi-IN"/>
        </w:rPr>
        <w:t>ą.</w:t>
      </w:r>
    </w:p>
    <w:p w:rsidR="00EE67DD" w:rsidRDefault="00B552AF">
      <w:pPr>
        <w:pStyle w:val="Akapitzlist"/>
        <w:numPr>
          <w:ilvl w:val="0"/>
          <w:numId w:val="17"/>
        </w:numPr>
        <w:spacing w:line="276" w:lineRule="auto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lastRenderedPageBreak/>
        <w:t>Działania następcze obejmują fazy:</w:t>
      </w:r>
    </w:p>
    <w:p w:rsidR="00EE67DD" w:rsidRDefault="00B552AF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lang w:eastAsia="zh-CN" w:bidi="hi-IN"/>
        </w:rPr>
      </w:pPr>
      <w:r>
        <w:rPr>
          <w:lang w:eastAsia="zh-CN" w:bidi="hi-IN"/>
        </w:rPr>
        <w:t>przeprowadzenia wstępnej oceny zgłoszenia, mającego na celu zaplanowanie dalszych działań wyjaśniających;</w:t>
      </w:r>
    </w:p>
    <w:p w:rsidR="00EE67DD" w:rsidRDefault="00B552AF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lang w:eastAsia="zh-CN" w:bidi="hi-IN"/>
        </w:rPr>
      </w:pPr>
      <w:r>
        <w:rPr>
          <w:lang w:eastAsia="zh-CN" w:bidi="hi-IN"/>
        </w:rPr>
        <w:t>realizacji postępowania wyjaśniającego, którego celem jest weryfikacja faktów oraz ocena prawdziwości zgłoszonych informacji;</w:t>
      </w:r>
    </w:p>
    <w:p w:rsidR="00EE67DD" w:rsidRDefault="00B552AF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lang w:eastAsia="zh-CN" w:bidi="hi-IN"/>
        </w:rPr>
      </w:pPr>
      <w:r>
        <w:rPr>
          <w:lang w:eastAsia="zh-CN" w:bidi="hi-IN"/>
        </w:rPr>
        <w:t xml:space="preserve">podejmowania działań następczych, które mają na celu eliminowanie skutków </w:t>
      </w:r>
      <w:r>
        <w:rPr>
          <w:lang w:eastAsia="zh-CN" w:bidi="hi-IN"/>
        </w:rPr>
        <w:br/>
        <w:t>i przyczyn naruszenia prawa oraz zmniejszenie ryzyka jego przyszłego naruszenia.</w:t>
      </w:r>
    </w:p>
    <w:p w:rsidR="00EE67DD" w:rsidRDefault="00B552AF">
      <w:pPr>
        <w:pStyle w:val="Akapitzlist"/>
        <w:numPr>
          <w:ilvl w:val="0"/>
          <w:numId w:val="16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 xml:space="preserve">Koordynator prowadzi sam postępowanie bądź powierza jego przeprowadzenie osobom upoważnionym wchodzącym w skład Zespołu. W wyjątkowych sytuacjach </w:t>
      </w:r>
      <w:r>
        <w:rPr>
          <w:lang w:eastAsia="zh-CN" w:bidi="hi-IN"/>
        </w:rPr>
        <w:br/>
        <w:t xml:space="preserve">za zgodą </w:t>
      </w:r>
      <w:r w:rsidRPr="00CE09BD">
        <w:rPr>
          <w:lang w:eastAsia="zh-CN" w:bidi="hi-IN"/>
        </w:rPr>
        <w:t>Komendanta Komisariatu Policji V</w:t>
      </w:r>
      <w:r>
        <w:rPr>
          <w:lang w:eastAsia="zh-CN" w:bidi="hi-IN"/>
        </w:rPr>
        <w:t xml:space="preserve"> w Gdańsku postępowanie może zostać powierzone wskazanemu funkcjonariuszowi z </w:t>
      </w:r>
      <w:r w:rsidRPr="00CE09BD">
        <w:rPr>
          <w:lang w:eastAsia="zh-CN" w:bidi="hi-IN"/>
        </w:rPr>
        <w:t>Komisariatu Policji V</w:t>
      </w:r>
      <w:r>
        <w:rPr>
          <w:lang w:eastAsia="zh-CN" w:bidi="hi-IN"/>
        </w:rPr>
        <w:t xml:space="preserve"> w Gdańsku, po jego uprzednim upoważnieniu.</w:t>
      </w:r>
    </w:p>
    <w:p w:rsidR="00EE67DD" w:rsidRDefault="00B552AF">
      <w:pPr>
        <w:pStyle w:val="Akapitzlist"/>
        <w:numPr>
          <w:ilvl w:val="0"/>
          <w:numId w:val="16"/>
        </w:numPr>
        <w:spacing w:line="276" w:lineRule="auto"/>
        <w:jc w:val="both"/>
        <w:rPr>
          <w:color w:val="FF0000"/>
          <w:lang w:eastAsia="zh-CN" w:bidi="hi-IN"/>
        </w:rPr>
      </w:pPr>
      <w:r>
        <w:rPr>
          <w:lang w:eastAsia="zh-CN" w:bidi="hi-IN"/>
        </w:rPr>
        <w:t xml:space="preserve">Osoba prowadząca postępowanie może korzystać z pomocy innych funkcjonariuszy </w:t>
      </w:r>
      <w:r>
        <w:rPr>
          <w:color w:val="FF0000"/>
          <w:lang w:eastAsia="zh-CN" w:bidi="hi-IN"/>
        </w:rPr>
        <w:t>KP V</w:t>
      </w:r>
      <w:r>
        <w:rPr>
          <w:lang w:eastAsia="zh-CN" w:bidi="hi-IN"/>
        </w:rPr>
        <w:t xml:space="preserve"> w Gdańsku, powołanych </w:t>
      </w:r>
      <w:r>
        <w:rPr>
          <w:i/>
          <w:lang w:eastAsia="zh-CN" w:bidi="hi-IN"/>
        </w:rPr>
        <w:t>ad hoc</w:t>
      </w:r>
      <w:r>
        <w:rPr>
          <w:lang w:eastAsia="zh-CN" w:bidi="hi-IN"/>
        </w:rPr>
        <w:t xml:space="preserve"> w charakterze ekspertów danej dziedziny. </w:t>
      </w:r>
      <w:r>
        <w:rPr>
          <w:lang w:eastAsia="zh-CN" w:bidi="hi-IN"/>
        </w:rPr>
        <w:br/>
        <w:t xml:space="preserve">Przy czym konieczność taka udokumentowana zostaje w formie notatki </w:t>
      </w:r>
      <w:r>
        <w:rPr>
          <w:lang w:eastAsia="zh-CN" w:bidi="hi-IN"/>
        </w:rPr>
        <w:br/>
        <w:t xml:space="preserve">służbowej, zatwierdzonej przez </w:t>
      </w:r>
      <w:r w:rsidRPr="00CE09BD">
        <w:rPr>
          <w:lang w:eastAsia="zh-CN" w:bidi="hi-IN"/>
        </w:rPr>
        <w:t>Komendanta Komisariatu Policji V</w:t>
      </w:r>
      <w:r>
        <w:rPr>
          <w:lang w:eastAsia="zh-CN" w:bidi="hi-IN"/>
        </w:rPr>
        <w:t xml:space="preserve"> w Gdańsku. Osoba włączona do postępowania otrzymuje upoważnienie do zapoznania </w:t>
      </w:r>
      <w:r>
        <w:rPr>
          <w:lang w:eastAsia="zh-CN" w:bidi="hi-IN"/>
        </w:rPr>
        <w:br/>
        <w:t xml:space="preserve">się z aktami oraz zobowiązanie do zachowania tajemnicy, co stanowi załącznik </w:t>
      </w:r>
      <w:r>
        <w:rPr>
          <w:lang w:eastAsia="zh-CN" w:bidi="hi-IN"/>
        </w:rPr>
        <w:br/>
        <w:t>nr 5 do procedury.</w:t>
      </w:r>
    </w:p>
    <w:p w:rsidR="00EE67DD" w:rsidRDefault="00B552A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W przypadku konfliktu interesów, z postępowania wyłącza się: </w:t>
      </w:r>
    </w:p>
    <w:p w:rsidR="00EE67DD" w:rsidRDefault="00B552AF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każda osoba zaangażowana w działania następcze. W przypadku zaistnienia konfliktu interesów osoba ta ma obowiązek natychmiastowego wyłączenia </w:t>
      </w:r>
      <w:r>
        <w:rPr>
          <w:rFonts w:eastAsia="NSimSun"/>
          <w:kern w:val="2"/>
          <w:lang w:eastAsia="zh-CN" w:bidi="hi-IN"/>
        </w:rPr>
        <w:br/>
        <w:t>się z postępowania i poinformowania o tym Koordynatora ds. Zgodności, sporządzając oświadczenie stanowiące załącznik nr 6 do procedury;</w:t>
      </w:r>
    </w:p>
    <w:p w:rsidR="00EE67DD" w:rsidRDefault="00B552AF">
      <w:pPr>
        <w:pStyle w:val="Akapitzlist"/>
        <w:numPr>
          <w:ilvl w:val="0"/>
          <w:numId w:val="20"/>
        </w:numPr>
        <w:spacing w:line="276" w:lineRule="auto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Koordynatora ds. Zgodności, jego Zastępców, </w:t>
      </w:r>
      <w:r w:rsidRPr="00CE09BD">
        <w:rPr>
          <w:rFonts w:eastAsia="NSimSun"/>
          <w:kern w:val="2"/>
          <w:lang w:eastAsia="zh-CN" w:bidi="hi-IN"/>
        </w:rPr>
        <w:t>Komendanta Komisariatu Policji V w Gdańsku, Zastępcę Komisariatu Policji V w Gdańsku</w:t>
      </w:r>
      <w:r>
        <w:rPr>
          <w:rFonts w:eastAsia="NSimSun"/>
          <w:kern w:val="2"/>
          <w:lang w:eastAsia="zh-CN" w:bidi="hi-IN"/>
        </w:rPr>
        <w:t xml:space="preserve"> lub innych funkcjonariuszy </w:t>
      </w:r>
      <w:r w:rsidRPr="00CE09BD">
        <w:rPr>
          <w:rFonts w:eastAsia="NSimSun"/>
          <w:kern w:val="2"/>
          <w:lang w:eastAsia="zh-CN" w:bidi="hi-IN"/>
        </w:rPr>
        <w:t>KP V w Gdańsku</w:t>
      </w:r>
      <w:r>
        <w:rPr>
          <w:rFonts w:eastAsia="NSimSun"/>
          <w:kern w:val="2"/>
          <w:lang w:eastAsia="zh-CN" w:bidi="hi-IN"/>
        </w:rPr>
        <w:t xml:space="preserve">. Sprawa zostaje niezwłocznie przekazana Naczelnikowi </w:t>
      </w:r>
      <w:r w:rsidRPr="00CE09BD">
        <w:rPr>
          <w:rFonts w:eastAsia="NSimSun"/>
          <w:kern w:val="2"/>
          <w:lang w:eastAsia="zh-CN" w:bidi="hi-IN"/>
        </w:rPr>
        <w:t>Wydziału ds. Dyscyplinarnych, Skarg i Wniosków</w:t>
      </w:r>
      <w:r>
        <w:rPr>
          <w:rFonts w:eastAsia="NSimSun"/>
          <w:kern w:val="2"/>
          <w:lang w:eastAsia="zh-CN" w:bidi="hi-IN"/>
        </w:rPr>
        <w:t xml:space="preserve"> KMP w Gdańsku. W opisanym przypadku, uprawnienia przewidziane niniejszą procedurą dla </w:t>
      </w:r>
      <w:r w:rsidRPr="00CE09BD">
        <w:rPr>
          <w:rFonts w:eastAsia="NSimSun"/>
          <w:kern w:val="2"/>
          <w:lang w:eastAsia="zh-CN" w:bidi="hi-IN"/>
        </w:rPr>
        <w:t>Komendanta Komisariatu Policji V</w:t>
      </w:r>
      <w:r>
        <w:rPr>
          <w:rFonts w:eastAsia="NSimSun"/>
          <w:kern w:val="2"/>
          <w:lang w:eastAsia="zh-CN" w:bidi="hi-IN"/>
        </w:rPr>
        <w:t xml:space="preserve"> w Gdańsku oraz Koordynatora ds. Zgodności przysługują Naczelnikowi </w:t>
      </w:r>
      <w:r w:rsidRPr="00CE09BD">
        <w:rPr>
          <w:rFonts w:eastAsia="NSimSun"/>
          <w:kern w:val="2"/>
          <w:lang w:eastAsia="zh-CN" w:bidi="hi-IN"/>
        </w:rPr>
        <w:t xml:space="preserve">Wydziału ds. Dyscyplinarnych, Skarg i Wniosków </w:t>
      </w:r>
      <w:r>
        <w:rPr>
          <w:rFonts w:eastAsia="NSimSun"/>
          <w:kern w:val="2"/>
          <w:lang w:eastAsia="zh-CN" w:bidi="hi-IN"/>
        </w:rPr>
        <w:t xml:space="preserve">KMP w Gdańsku; </w:t>
      </w:r>
    </w:p>
    <w:p w:rsidR="00EE67DD" w:rsidRDefault="00B552AF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NSimSun"/>
          <w:color w:val="FF0000"/>
          <w:kern w:val="2"/>
          <w:lang w:eastAsia="zh-CN" w:bidi="hi-IN"/>
        </w:rPr>
      </w:pPr>
      <w:r w:rsidRPr="00CE09BD">
        <w:rPr>
          <w:rFonts w:eastAsia="NSimSun"/>
          <w:kern w:val="2"/>
          <w:lang w:eastAsia="zh-CN" w:bidi="hi-IN"/>
        </w:rPr>
        <w:t xml:space="preserve">Przekazanie sprawy o której mowa w ust. 5 pkt. 2 powinno nastąpić nie później </w:t>
      </w:r>
      <w:r w:rsidRPr="00CE09BD">
        <w:rPr>
          <w:rFonts w:eastAsia="NSimSun"/>
          <w:kern w:val="2"/>
          <w:lang w:eastAsia="zh-CN" w:bidi="hi-IN"/>
        </w:rPr>
        <w:br/>
        <w:t xml:space="preserve">niż w terminie 3 dni roboczych od momentu stwierdzenia konfliktu interesów. </w:t>
      </w:r>
      <w:r w:rsidRPr="00CE09BD">
        <w:rPr>
          <w:rFonts w:eastAsia="NSimSun"/>
          <w:kern w:val="2"/>
          <w:lang w:eastAsia="zh-CN" w:bidi="hi-IN"/>
        </w:rPr>
        <w:br/>
        <w:t>A w przypadku, gdy sprawa dotyczy</w:t>
      </w:r>
      <w:r>
        <w:rPr>
          <w:rFonts w:eastAsia="NSimSun"/>
          <w:color w:val="FF0000"/>
          <w:kern w:val="2"/>
          <w:lang w:eastAsia="zh-CN" w:bidi="hi-IN"/>
        </w:rPr>
        <w:t xml:space="preserve"> </w:t>
      </w:r>
      <w:r w:rsidR="00CE09BD">
        <w:rPr>
          <w:rFonts w:eastAsia="NSimSun"/>
          <w:kern w:val="1"/>
          <w:lang w:eastAsia="zh-CN" w:bidi="hi-IN"/>
        </w:rPr>
        <w:t>Komendanta Komisariatu Policji V w Gdańsku  lub jego Zastępcy</w:t>
      </w:r>
      <w:r w:rsidR="00CE09BD" w:rsidRPr="003069AC">
        <w:rPr>
          <w:rFonts w:eastAsia="NSimSun"/>
          <w:kern w:val="1"/>
          <w:lang w:eastAsia="zh-CN" w:bidi="hi-IN"/>
        </w:rPr>
        <w:t>, zostaje niezwłocznie, nie później niż w terminie 3 dni</w:t>
      </w:r>
      <w:r w:rsidR="00CE09BD">
        <w:rPr>
          <w:rFonts w:eastAsia="NSimSun"/>
          <w:kern w:val="1"/>
          <w:lang w:eastAsia="zh-CN" w:bidi="hi-IN"/>
        </w:rPr>
        <w:t xml:space="preserve"> roboczych, przekazana do Naczelnika Wydziału ds. Dyscyplinarnych, Skarg i Wniosków KMP w Gdańsku</w:t>
      </w:r>
    </w:p>
    <w:p w:rsidR="00EE67DD" w:rsidRDefault="00B552AF">
      <w:pPr>
        <w:pStyle w:val="Akapitzlist"/>
        <w:numPr>
          <w:ilvl w:val="0"/>
          <w:numId w:val="16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>Dane sygnalisty na każdym etapie są chronione na zasadach zawartych w ustawie.</w:t>
      </w:r>
    </w:p>
    <w:p w:rsidR="00EE67DD" w:rsidRDefault="00B552AF">
      <w:pPr>
        <w:pStyle w:val="Akapitzlist"/>
        <w:numPr>
          <w:ilvl w:val="0"/>
          <w:numId w:val="16"/>
        </w:numPr>
        <w:spacing w:line="276" w:lineRule="auto"/>
        <w:jc w:val="both"/>
        <w:rPr>
          <w:lang w:eastAsia="zh-CN" w:bidi="hi-IN"/>
        </w:rPr>
      </w:pPr>
      <w:r>
        <w:rPr>
          <w:lang w:eastAsia="zh-CN" w:bidi="hi-IN"/>
        </w:rPr>
        <w:t>Postępowanie wyjaśniające prowadzone jest:</w:t>
      </w:r>
    </w:p>
    <w:p w:rsidR="00EE67DD" w:rsidRDefault="00B552AF">
      <w:pPr>
        <w:pStyle w:val="Akapitzlist"/>
        <w:numPr>
          <w:ilvl w:val="0"/>
          <w:numId w:val="18"/>
        </w:numPr>
        <w:spacing w:line="276" w:lineRule="auto"/>
        <w:ind w:left="1418" w:hanging="284"/>
        <w:jc w:val="both"/>
      </w:pPr>
      <w:r>
        <w:t>na podstawie przepisów odrębnych ustaw regulujących czynności kontrolne, nadzorcze, wyjaśniające oraz podobne w zakresie zgłoszenia;</w:t>
      </w:r>
    </w:p>
    <w:p w:rsidR="00EE67DD" w:rsidRDefault="00B552AF">
      <w:pPr>
        <w:pStyle w:val="Akapitzlist"/>
        <w:numPr>
          <w:ilvl w:val="0"/>
          <w:numId w:val="18"/>
        </w:numPr>
        <w:spacing w:line="276" w:lineRule="auto"/>
        <w:ind w:left="1418" w:hanging="284"/>
        <w:jc w:val="both"/>
        <w:rPr>
          <w:lang w:eastAsia="zh-CN" w:bidi="hi-IN"/>
        </w:rPr>
      </w:pPr>
      <w:r>
        <w:lastRenderedPageBreak/>
        <w:t>z uwzględnieniem przepisów Ustawy, w tym zasad należytej staranności, komunikacji z sygnalistą, ochrony jego tożsamości, ochrony tożsamości osoby, której zgłoszenie dotyczy, oraz ochrony informacji, zgodnie z ustawą oraz odrębnymi przepisami, w sytuacjach, gdy zakres tematyczny wykracza poza powyższe.</w:t>
      </w:r>
    </w:p>
    <w:p w:rsidR="00EE67DD" w:rsidRDefault="00EE67DD">
      <w:pPr>
        <w:rPr>
          <w:color w:val="000000" w:themeColor="text1"/>
          <w:lang w:eastAsia="zh-CN" w:bidi="hi-IN"/>
        </w:rPr>
      </w:pPr>
    </w:p>
    <w:p w:rsidR="00EE67DD" w:rsidRDefault="00EE67DD">
      <w:pPr>
        <w:rPr>
          <w:color w:val="000000" w:themeColor="text1"/>
          <w:lang w:eastAsia="zh-CN" w:bidi="hi-IN"/>
        </w:rPr>
      </w:pPr>
    </w:p>
    <w:p w:rsidR="00EE67DD" w:rsidRDefault="00B552AF">
      <w:pPr>
        <w:spacing w:line="276" w:lineRule="auto"/>
        <w:contextualSpacing/>
        <w:jc w:val="center"/>
        <w:rPr>
          <w:rFonts w:eastAsia="NSimSun"/>
          <w:b/>
          <w:bCs/>
          <w:color w:val="000000" w:themeColor="text1"/>
          <w:kern w:val="2"/>
          <w:lang w:eastAsia="zh-CN" w:bidi="hi-IN"/>
        </w:rPr>
      </w:pPr>
      <w:r>
        <w:rPr>
          <w:rFonts w:eastAsia="NSimSun"/>
          <w:b/>
          <w:bCs/>
          <w:color w:val="000000" w:themeColor="text1"/>
          <w:kern w:val="2"/>
          <w:lang w:eastAsia="zh-CN" w:bidi="hi-IN"/>
        </w:rPr>
        <w:t>Rozdział IV</w:t>
      </w:r>
    </w:p>
    <w:p w:rsidR="00EE67DD" w:rsidRDefault="00B552AF">
      <w:pPr>
        <w:spacing w:line="276" w:lineRule="auto"/>
        <w:contextualSpacing/>
        <w:jc w:val="center"/>
        <w:rPr>
          <w:rFonts w:eastAsia="NSimSun"/>
          <w:b/>
          <w:bCs/>
          <w:color w:val="000000" w:themeColor="text1"/>
          <w:kern w:val="2"/>
          <w:lang w:eastAsia="zh-CN" w:bidi="hi-IN"/>
        </w:rPr>
      </w:pPr>
      <w:r>
        <w:rPr>
          <w:rFonts w:eastAsia="NSimSun"/>
          <w:b/>
          <w:bCs/>
          <w:color w:val="000000" w:themeColor="text1"/>
          <w:kern w:val="2"/>
          <w:lang w:eastAsia="zh-CN" w:bidi="hi-IN"/>
        </w:rPr>
        <w:t>Zasady ochrony sygnalisty oraz dokumentacji</w:t>
      </w:r>
    </w:p>
    <w:p w:rsidR="00EE67DD" w:rsidRDefault="00B552AF">
      <w:pPr>
        <w:spacing w:beforeAutospacing="1" w:line="276" w:lineRule="auto"/>
        <w:jc w:val="both"/>
        <w:rPr>
          <w:b/>
          <w:bCs/>
        </w:rPr>
      </w:pPr>
      <w:r>
        <w:rPr>
          <w:b/>
          <w:bCs/>
        </w:rPr>
        <w:t>§ 9. Dokumentowanie, przechowywanie i archiwizacja</w:t>
      </w:r>
    </w:p>
    <w:p w:rsidR="00EE67DD" w:rsidRDefault="00B552AF">
      <w:pPr>
        <w:numPr>
          <w:ilvl w:val="0"/>
          <w:numId w:val="6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Zgłoszenia dokumentuje się za pomocą formularzy stanowiących załączniki </w:t>
      </w:r>
      <w:r>
        <w:rPr>
          <w:rFonts w:eastAsia="NSimSun"/>
          <w:kern w:val="2"/>
          <w:lang w:eastAsia="zh-CN" w:bidi="hi-IN"/>
        </w:rPr>
        <w:br/>
        <w:t xml:space="preserve">do niniejszej procedury. Pozostała dokumentacja przyjmuje formę pism lub notatek służbowych. Dopuszczalne są inne formy dokumentowania czynności, jeżeli </w:t>
      </w:r>
      <w:r>
        <w:rPr>
          <w:rFonts w:eastAsia="NSimSun"/>
          <w:kern w:val="2"/>
          <w:lang w:eastAsia="zh-CN" w:bidi="hi-IN"/>
        </w:rPr>
        <w:br/>
        <w:t>nie zostały one przewidziane we wzorach formularzy, a wymaga są okolicznościami sprawy.</w:t>
      </w:r>
    </w:p>
    <w:p w:rsidR="00EE67DD" w:rsidRDefault="00B552AF">
      <w:pPr>
        <w:numPr>
          <w:ilvl w:val="0"/>
          <w:numId w:val="6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Dane osobowe i adresowe </w:t>
      </w:r>
      <w:r>
        <w:t>przechowuje się w zamkniętej kopercie dołączonej do akt.</w:t>
      </w:r>
    </w:p>
    <w:p w:rsidR="00EE67DD" w:rsidRDefault="00B552AF">
      <w:pPr>
        <w:numPr>
          <w:ilvl w:val="0"/>
          <w:numId w:val="6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bCs/>
        </w:rPr>
        <w:t>Miejsce przechowywania akt i Rejestru Zgłoszeń Zewnętrznych: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 xml:space="preserve">akta i rejestr dotyczące sygnalistów są przechowywane w </w:t>
      </w:r>
      <w:r w:rsidRPr="00CE09BD">
        <w:t xml:space="preserve">szafie metalowej </w:t>
      </w:r>
      <w:r w:rsidRPr="00CE09BD">
        <w:rPr>
          <w:rFonts w:eastAsia="Times New Roman" w:cstheme="minorHAnsi"/>
        </w:rPr>
        <w:t xml:space="preserve">zamykanej na klucz w pokoju służbowym nr 220 </w:t>
      </w:r>
      <w:r>
        <w:rPr>
          <w:rFonts w:eastAsia="Times New Roman" w:cstheme="minorHAnsi"/>
        </w:rPr>
        <w:t>w siedzibie KP V w Gdańsku</w:t>
      </w:r>
      <w:r>
        <w:t>;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  <w:rPr>
          <w:color w:val="FF0000"/>
        </w:rPr>
      </w:pPr>
      <w:r>
        <w:t xml:space="preserve">dostęp do szafy z aktami sygnalistów mają wyłącznie członkowie Zespołu </w:t>
      </w:r>
      <w:r>
        <w:br/>
        <w:t xml:space="preserve">ds. Zgodności oraz Koordynator ds. Zgodności, </w:t>
      </w:r>
      <w:r w:rsidRPr="00CE09BD">
        <w:t>Komendant Komisariatu Policji V w Gdańsku i Zastępca Komisariatu Policji V w Gdańsku</w:t>
      </w:r>
      <w:r>
        <w:t>.</w:t>
      </w:r>
    </w:p>
    <w:p w:rsidR="00EE67DD" w:rsidRDefault="00B552AF">
      <w:pPr>
        <w:numPr>
          <w:ilvl w:val="0"/>
          <w:numId w:val="13"/>
        </w:numPr>
        <w:spacing w:line="276" w:lineRule="auto"/>
        <w:jc w:val="both"/>
      </w:pPr>
      <w:r>
        <w:rPr>
          <w:bCs/>
        </w:rPr>
        <w:t>Zasady przechowywania akt: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 xml:space="preserve">wszystkie akta sygnalistów przechowywane są w sposób zapewniający </w:t>
      </w:r>
      <w:r>
        <w:br/>
        <w:t>ich poufność i ochronę przed nieuprawnionym dostępem;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 xml:space="preserve">czynność podejmowane w ramach nadzoru służbowego oraz dostęp do akt </w:t>
      </w:r>
      <w:r>
        <w:br/>
        <w:t xml:space="preserve">(z wyłączeniem osoby prowadzącej) odnotowywane są w Karcie Nadzoru </w:t>
      </w:r>
      <w:r>
        <w:br/>
        <w:t xml:space="preserve">ze wskazaniem daty, godziny oraz imienia i nazwiska osoby uzyskującej dostęp do akt. Karta nadzoru stanowi załącznik nr 7 do procedury. </w:t>
      </w:r>
    </w:p>
    <w:p w:rsidR="00EE67DD" w:rsidRDefault="00B552AF">
      <w:pPr>
        <w:numPr>
          <w:ilvl w:val="0"/>
          <w:numId w:val="13"/>
        </w:numPr>
        <w:spacing w:line="276" w:lineRule="auto"/>
        <w:jc w:val="both"/>
      </w:pPr>
      <w:r>
        <w:rPr>
          <w:bCs/>
        </w:rPr>
        <w:t>Obieg korespondencji wewnętrznej: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>obieg korespondencji zgłoszeń odbywa się z wyłączeniem procedur kancelaryjnych;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>obieg korespondencji w sprawach przekazanych do jednostek podległych odbywa się z zachowaniem poufności, na zasadach ustalonych dla danej sprawy przez Koordynatora ds. Zgodności;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rPr>
          <w:bCs/>
        </w:rPr>
        <w:t xml:space="preserve">korespondencja elektroniczna z sygnalistą odbywa się z zachowaniem środków ostrożności, tj. w przypadku pism elektronicznych z wykorzystaniem wybranego środka kodowania (np. zip, hasło w </w:t>
      </w:r>
      <w:proofErr w:type="spellStart"/>
      <w:r>
        <w:rPr>
          <w:bCs/>
        </w:rPr>
        <w:t>pdf</w:t>
      </w:r>
      <w:proofErr w:type="spellEnd"/>
      <w:r>
        <w:rPr>
          <w:bCs/>
        </w:rPr>
        <w:t>);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 xml:space="preserve">obieg korespondencji zawierającej dane sygnalisty lub informacje, które mogą ujawnić jego personalia, odbywa się wewnątrz </w:t>
      </w:r>
      <w:r w:rsidRPr="00CE09BD">
        <w:t>Komisariatu Policji V</w:t>
      </w:r>
      <w:r>
        <w:rPr>
          <w:color w:val="FF0000"/>
        </w:rPr>
        <w:t xml:space="preserve"> </w:t>
      </w:r>
      <w:r>
        <w:t xml:space="preserve">w Gdańsku manualnie, w formie papierowej. Dokumenty przekazywane są do </w:t>
      </w:r>
      <w:r>
        <w:lastRenderedPageBreak/>
        <w:t>rąk własnych osób upoważnionych, za pokwitowaniem   na piśmie przewodnim, w zamkniętych kopertach.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 xml:space="preserve">w sprawach technicznych i niezawierających danych sygnalisty, </w:t>
      </w:r>
      <w:r>
        <w:br/>
        <w:t xml:space="preserve">nie wskazujących na jego personalia oraz przedmiot sprawy dopuszcza </w:t>
      </w:r>
      <w:r>
        <w:br/>
        <w:t xml:space="preserve">się standardowy obieg dokumentacji obowiązujący w </w:t>
      </w:r>
      <w:r w:rsidRPr="00CE09BD">
        <w:t>Komisariacie</w:t>
      </w:r>
      <w:r w:rsidR="00CE09BD" w:rsidRPr="00CE09BD">
        <w:t xml:space="preserve"> Policji V w Gdańsku</w:t>
      </w:r>
      <w:r>
        <w:t>, nadając znak 0151.</w:t>
      </w:r>
    </w:p>
    <w:p w:rsidR="00EE67DD" w:rsidRDefault="00B552AF">
      <w:pPr>
        <w:numPr>
          <w:ilvl w:val="0"/>
          <w:numId w:val="13"/>
        </w:numPr>
        <w:spacing w:line="276" w:lineRule="auto"/>
        <w:jc w:val="both"/>
      </w:pPr>
      <w:r>
        <w:rPr>
          <w:bCs/>
        </w:rPr>
        <w:t>Zgodność z RODO: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>wszystkie działania związane z przetwarzaniem i przechowywaniem danych osobowych są zgodne z Rozporządzeniem o Ochronie Danych Osobowych (RODO);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>szczegółowe procedury związane z przetwarzaniem danych osobowych, w tym prawa osób, których dane dotyczą, są opisane w RODO;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 xml:space="preserve">za ochronę danych osobowych sygnalistów i osób powiązanych odpowiada Inspektor Ochrony Danych Osobowych. </w:t>
      </w:r>
    </w:p>
    <w:p w:rsidR="00EE67DD" w:rsidRDefault="00B552AF">
      <w:pPr>
        <w:numPr>
          <w:ilvl w:val="0"/>
          <w:numId w:val="13"/>
        </w:numPr>
        <w:spacing w:line="276" w:lineRule="auto"/>
        <w:jc w:val="both"/>
      </w:pPr>
      <w:r>
        <w:rPr>
          <w:bCs/>
        </w:rPr>
        <w:t>Niszczenie akt sygnalisty: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 xml:space="preserve">akta sygnalistów i związane z nimi informacje są przechowywane przez okres </w:t>
      </w:r>
      <w:r>
        <w:br/>
        <w:t>3 lat po zakończenia roku kalendarzowego, w którym zakończono działania następcze lub postępowania związane z danym zgłoszeniem;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>po upływie okresu przechowywania, akta sygnalisty są niszczone w sposób uniemożliwiający ich późniejsze odtworzenie;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>proces niszczenia akt odbywa się w Wydziale ds. Dyscyplinarnych, Skarg i Wniosków i jest dokumentowany w „</w:t>
      </w:r>
      <w:r>
        <w:rPr>
          <w:i/>
        </w:rPr>
        <w:t>Protokole Zniszczenia Akt Sygnalisty</w:t>
      </w:r>
      <w:r>
        <w:t>”, który jest przechowywany przez Wydział ds. Dyscyplinarnych, Skarg i Wniosków przez okres 2 lat. Protokół Zniszczenia Akt Sygnalisty stanowi załącznik nr 8 do procedury;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>niszczenie akt nadzoruje Komisja ds. Zniszczenia Akt Sygnalisty, powołana przez Komendanta Miejskiego Policji w Gdańsku. Komisja sporządza protokół, który zawiera informacje o rodzaju i liczbie niszczonych akt, sposobie ich zniszczenia oraz datę i miejsce zniszczenia;</w:t>
      </w:r>
    </w:p>
    <w:p w:rsidR="00EE67DD" w:rsidRDefault="00B552AF">
      <w:pPr>
        <w:numPr>
          <w:ilvl w:val="1"/>
          <w:numId w:val="13"/>
        </w:numPr>
        <w:spacing w:line="276" w:lineRule="auto"/>
        <w:jc w:val="both"/>
      </w:pPr>
      <w:r>
        <w:t>niszczenie zapisów z Rejestrów zgłoszeń zewnętrznych odbywa się zgodnie zasadami ochrony danych zbioru manualnego;</w:t>
      </w:r>
    </w:p>
    <w:p w:rsidR="00EE67DD" w:rsidRDefault="00B552AF">
      <w:pPr>
        <w:numPr>
          <w:ilvl w:val="1"/>
          <w:numId w:val="13"/>
        </w:numPr>
        <w:spacing w:afterAutospacing="1" w:line="276" w:lineRule="auto"/>
        <w:jc w:val="both"/>
      </w:pPr>
      <w:r>
        <w:t xml:space="preserve">dane osobowe, które nie mają znaczenia dla rozpatrywania zgłoszenia, </w:t>
      </w:r>
      <w:r>
        <w:br/>
        <w:t>nie są zbierane, a w razie przypadkowego zebrania są niezwłocznie usuwane. Usunięcie tych danych osobowych następuje w terminie 14 dni od chwili ustalenia, że nie mają one znaczenia dla sprawy. Niszczenie danych dokumentowane jest w formie notatki służbowej.</w:t>
      </w:r>
    </w:p>
    <w:p w:rsidR="00EE67DD" w:rsidRDefault="00B552AF">
      <w:pPr>
        <w:spacing w:beforeAutospacing="1" w:line="360" w:lineRule="auto"/>
        <w:jc w:val="both"/>
        <w:rPr>
          <w:b/>
          <w:bCs/>
        </w:rPr>
      </w:pPr>
      <w:r>
        <w:rPr>
          <w:b/>
          <w:bCs/>
        </w:rPr>
        <w:t>§ 10. Ochrona sygnalisty</w:t>
      </w:r>
    </w:p>
    <w:p w:rsidR="00EE67DD" w:rsidRDefault="00B552AF">
      <w:pPr>
        <w:numPr>
          <w:ilvl w:val="0"/>
          <w:numId w:val="21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Sygnalista podlega ochronie określonej w przepisach Ustawy, od chwili dokonania zgłoszenia.</w:t>
      </w:r>
    </w:p>
    <w:p w:rsidR="00EE67DD" w:rsidRDefault="00B552AF">
      <w:pPr>
        <w:numPr>
          <w:ilvl w:val="0"/>
          <w:numId w:val="21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Ochrona Sygnalistów jest zapewniona poprzez:</w:t>
      </w:r>
    </w:p>
    <w:p w:rsidR="00EE67DD" w:rsidRDefault="00B552AF">
      <w:pPr>
        <w:numPr>
          <w:ilvl w:val="0"/>
          <w:numId w:val="7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ochronę tożsamości, chyba że organ otrzyma od Sygnalisty wyraźną zgodę </w:t>
      </w:r>
      <w:r>
        <w:rPr>
          <w:rFonts w:eastAsia="NSimSun"/>
          <w:kern w:val="2"/>
          <w:lang w:eastAsia="zh-CN" w:bidi="hi-IN"/>
        </w:rPr>
        <w:br/>
        <w:t>na ujawnienie danych;</w:t>
      </w:r>
    </w:p>
    <w:p w:rsidR="00EE67DD" w:rsidRDefault="00B552AF">
      <w:pPr>
        <w:numPr>
          <w:ilvl w:val="0"/>
          <w:numId w:val="7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lastRenderedPageBreak/>
        <w:t>w przypadku, gdy zgłoszenie dotyczy innych osób, organ podejmie działania mające na celu zapewnienie im ochrony poufności;</w:t>
      </w:r>
    </w:p>
    <w:p w:rsidR="00EE67DD" w:rsidRDefault="00B552AF">
      <w:pPr>
        <w:numPr>
          <w:ilvl w:val="0"/>
          <w:numId w:val="7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zapewnienie, że dostęp do danych Sygnalisty oraz dokumentacji związanej ze zgłoszeniem, będą miały tylko uprawnione osoby, które zostały przeszkolone w zakresie zapewnienia ochrony Sygnalistów;</w:t>
      </w:r>
    </w:p>
    <w:p w:rsidR="00EE67DD" w:rsidRDefault="00B552AF">
      <w:pPr>
        <w:numPr>
          <w:ilvl w:val="0"/>
          <w:numId w:val="7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ochronę przed działaniami odwetowymi, w tym groźbami przed takimi działaniami, w związku z dokonanym zgłoszeniem.</w:t>
      </w:r>
    </w:p>
    <w:p w:rsidR="00EE67DD" w:rsidRDefault="00B552AF">
      <w:pPr>
        <w:numPr>
          <w:ilvl w:val="0"/>
          <w:numId w:val="21"/>
        </w:numPr>
        <w:spacing w:line="276" w:lineRule="auto"/>
        <w:contextualSpacing/>
        <w:jc w:val="both"/>
        <w:rPr>
          <w:rFonts w:eastAsia="NSimSun"/>
          <w:color w:val="FF0000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Na żądanie sygnalisty organ wyda w terminie miesiąca od jego otrzymania, zaświadczenie potwierdzające, że sygnalista podlega ochronie przed działaniami odwetowymi przewidzianej w ustawie. Zaświadczenie stanowi załącznik </w:t>
      </w:r>
      <w:r>
        <w:rPr>
          <w:rFonts w:eastAsia="NSimSun"/>
          <w:kern w:val="2"/>
          <w:lang w:eastAsia="zh-CN" w:bidi="hi-IN"/>
        </w:rPr>
        <w:br/>
        <w:t>nr 9 do procedury.</w:t>
      </w:r>
    </w:p>
    <w:p w:rsidR="00EE67DD" w:rsidRDefault="00B552AF">
      <w:pPr>
        <w:numPr>
          <w:ilvl w:val="0"/>
          <w:numId w:val="21"/>
        </w:numPr>
        <w:spacing w:line="276" w:lineRule="auto"/>
        <w:contextualSpacing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W przypadku podjęcia wobec sygnalisty działań odwetowych, Sygnalista ma prawo do odszkodowania (w wysokości nie niższej niż przeciętne miesięczne wynagrodzenie w gospodarce narodowej za rok poprzedni, ogłaszane do celów emerytalnych </w:t>
      </w:r>
      <w:r>
        <w:rPr>
          <w:rFonts w:eastAsia="NSimSun"/>
          <w:kern w:val="2"/>
          <w:lang w:eastAsia="zh-CN" w:bidi="hi-IN"/>
        </w:rPr>
        <w:br/>
        <w:t xml:space="preserve">w Dzienniku Urzędowym Rzeczypospolitej Polskiej "Monitor Polski" przez Prezesa Głównego Urzędu Statystycznego) lub prawo do zadośćuczynienia. </w:t>
      </w:r>
    </w:p>
    <w:p w:rsidR="00EE67DD" w:rsidRDefault="00EE67DD">
      <w:pPr>
        <w:spacing w:line="276" w:lineRule="auto"/>
        <w:ind w:left="720"/>
        <w:contextualSpacing/>
        <w:jc w:val="both"/>
        <w:rPr>
          <w:rFonts w:eastAsia="NSimSun"/>
          <w:kern w:val="2"/>
          <w:lang w:eastAsia="zh-CN" w:bidi="hi-IN"/>
        </w:rPr>
      </w:pPr>
    </w:p>
    <w:p w:rsidR="00EE67DD" w:rsidRDefault="00EE67DD">
      <w:pPr>
        <w:spacing w:line="276" w:lineRule="auto"/>
        <w:ind w:left="720"/>
        <w:contextualSpacing/>
        <w:jc w:val="both"/>
        <w:rPr>
          <w:rFonts w:eastAsia="NSimSun"/>
          <w:kern w:val="2"/>
          <w:lang w:eastAsia="zh-CN" w:bidi="hi-IN"/>
        </w:rPr>
      </w:pPr>
    </w:p>
    <w:p w:rsidR="00EE67DD" w:rsidRDefault="00B552AF">
      <w:pPr>
        <w:spacing w:after="140" w:line="276" w:lineRule="auto"/>
        <w:contextualSpacing/>
        <w:jc w:val="center"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Rozdział V</w:t>
      </w:r>
    </w:p>
    <w:p w:rsidR="00EE67DD" w:rsidRDefault="00B552AF">
      <w:pPr>
        <w:spacing w:after="140" w:line="276" w:lineRule="auto"/>
        <w:contextualSpacing/>
        <w:jc w:val="center"/>
        <w:rPr>
          <w:rFonts w:eastAsia="NSimSun"/>
          <w:b/>
          <w:bCs/>
          <w:kern w:val="2"/>
          <w:lang w:eastAsia="zh-CN" w:bidi="hi-IN"/>
        </w:rPr>
      </w:pPr>
      <w:r>
        <w:rPr>
          <w:rFonts w:eastAsia="NSimSun"/>
          <w:b/>
          <w:bCs/>
          <w:kern w:val="2"/>
          <w:lang w:eastAsia="zh-CN" w:bidi="hi-IN"/>
        </w:rPr>
        <w:t>Postanowienia końcowe</w:t>
      </w:r>
    </w:p>
    <w:p w:rsidR="00EE67DD" w:rsidRDefault="00B552AF">
      <w:pPr>
        <w:spacing w:after="140" w:line="276" w:lineRule="auto"/>
        <w:jc w:val="both"/>
        <w:rPr>
          <w:rFonts w:eastAsia="NSimSun"/>
          <w:kern w:val="2"/>
          <w:lang w:eastAsia="zh-CN" w:bidi="hi-IN"/>
        </w:rPr>
      </w:pPr>
      <w:bookmarkStart w:id="1" w:name="_Hlk184234241"/>
      <w:r>
        <w:rPr>
          <w:b/>
          <w:bCs/>
        </w:rPr>
        <w:t>§ 11. Przegląd procedury</w:t>
      </w:r>
      <w:bookmarkEnd w:id="1"/>
    </w:p>
    <w:p w:rsidR="00EE67DD" w:rsidRDefault="00B552AF">
      <w:pPr>
        <w:pStyle w:val="Akapitzlist"/>
        <w:numPr>
          <w:ilvl w:val="2"/>
          <w:numId w:val="13"/>
        </w:numPr>
        <w:spacing w:line="276" w:lineRule="auto"/>
        <w:ind w:left="567" w:hanging="283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Ocena adekwatności i skuteczności Procedury dokonywana jest, co najmniej raz </w:t>
      </w:r>
      <w:r>
        <w:rPr>
          <w:rFonts w:eastAsia="NSimSun"/>
          <w:kern w:val="2"/>
          <w:lang w:eastAsia="zh-CN" w:bidi="hi-IN"/>
        </w:rPr>
        <w:br/>
        <w:t xml:space="preserve">na 3 lata przez Koordynatora ds. Zgodności. </w:t>
      </w:r>
    </w:p>
    <w:p w:rsidR="00EE67DD" w:rsidRDefault="00B552AF">
      <w:pPr>
        <w:pStyle w:val="Akapitzlist"/>
        <w:numPr>
          <w:ilvl w:val="2"/>
          <w:numId w:val="13"/>
        </w:numPr>
        <w:spacing w:line="276" w:lineRule="auto"/>
        <w:ind w:left="567" w:hanging="283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Przegląd procedury dokumentowany jest notatką służbową zatwierdzaną przez </w:t>
      </w:r>
      <w:r w:rsidRPr="00CE09BD">
        <w:rPr>
          <w:rFonts w:eastAsia="NSimSun"/>
          <w:kern w:val="2"/>
          <w:lang w:eastAsia="zh-CN" w:bidi="hi-IN"/>
        </w:rPr>
        <w:t>Komendanta Komisariatu Policji V w Gdańsku</w:t>
      </w:r>
      <w:r>
        <w:rPr>
          <w:rFonts w:eastAsia="NSimSun"/>
          <w:kern w:val="2"/>
          <w:lang w:eastAsia="zh-CN" w:bidi="hi-IN"/>
        </w:rPr>
        <w:t>.</w:t>
      </w:r>
    </w:p>
    <w:p w:rsidR="00EE67DD" w:rsidRDefault="00EE67DD">
      <w:pPr>
        <w:spacing w:line="276" w:lineRule="auto"/>
        <w:ind w:left="720"/>
        <w:contextualSpacing/>
        <w:jc w:val="both"/>
        <w:rPr>
          <w:rFonts w:eastAsia="NSimSun"/>
          <w:kern w:val="2"/>
          <w:sz w:val="16"/>
          <w:szCs w:val="16"/>
          <w:lang w:eastAsia="zh-CN" w:bidi="hi-IN"/>
        </w:rPr>
      </w:pPr>
    </w:p>
    <w:p w:rsidR="00EE67DD" w:rsidRDefault="00B552AF">
      <w:pPr>
        <w:spacing w:line="360" w:lineRule="auto"/>
        <w:jc w:val="both"/>
        <w:rPr>
          <w:rFonts w:eastAsia="NSimSun"/>
          <w:kern w:val="2"/>
          <w:lang w:eastAsia="zh-CN" w:bidi="hi-IN"/>
        </w:rPr>
      </w:pPr>
      <w:r>
        <w:rPr>
          <w:b/>
          <w:bCs/>
        </w:rPr>
        <w:t>§ 12. Sprawozdawczość</w:t>
      </w:r>
    </w:p>
    <w:p w:rsidR="00EE67DD" w:rsidRDefault="00B552AF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Koordynator ds. Zgodności sporządza sprawozdanie zawierające poniższe dane statystyczne dotyczące zgłoszeń zewnętrznych:</w:t>
      </w:r>
    </w:p>
    <w:p w:rsidR="00EE67DD" w:rsidRDefault="00B552AF">
      <w:pPr>
        <w:pStyle w:val="Akapitzlist"/>
        <w:numPr>
          <w:ilvl w:val="0"/>
          <w:numId w:val="12"/>
        </w:numPr>
        <w:spacing w:after="140" w:line="276" w:lineRule="auto"/>
        <w:ind w:left="1418" w:hanging="284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liczbę przyjętych zgłoszeń zewnętrznych;</w:t>
      </w:r>
    </w:p>
    <w:p w:rsidR="00EE67DD" w:rsidRDefault="00B552AF">
      <w:pPr>
        <w:pStyle w:val="Akapitzlist"/>
        <w:numPr>
          <w:ilvl w:val="0"/>
          <w:numId w:val="12"/>
        </w:numPr>
        <w:spacing w:after="140" w:line="276" w:lineRule="auto"/>
        <w:ind w:hanging="306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liczbę postępowań wyjaśniających i postępowań wszczętych w wyniku przyjętych zgłoszeń zewnętrznych oraz informacje na temat wyniku tych postępowań;</w:t>
      </w:r>
    </w:p>
    <w:p w:rsidR="00EE67DD" w:rsidRDefault="00B552AF">
      <w:pPr>
        <w:pStyle w:val="Akapitzlist"/>
        <w:numPr>
          <w:ilvl w:val="0"/>
          <w:numId w:val="12"/>
        </w:numPr>
        <w:spacing w:after="140" w:line="276" w:lineRule="auto"/>
        <w:ind w:hanging="306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szacunkową szkodę majątkową, jeżeli została stwierdzona oraz kwoty odzyskane w wyniku postępowań dotyczących naruszeń prawa będących przedmiotem zgłoszenia zewnętrznego – o ile organ publiczny posiada takie dane.</w:t>
      </w:r>
    </w:p>
    <w:p w:rsidR="00EE67DD" w:rsidRDefault="00B552AF">
      <w:pPr>
        <w:pStyle w:val="Akapitzlist"/>
        <w:numPr>
          <w:ilvl w:val="0"/>
          <w:numId w:val="11"/>
        </w:numPr>
        <w:spacing w:after="140" w:line="276" w:lineRule="auto"/>
        <w:ind w:left="567" w:hanging="283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Dane statystyczne o których mowa w ust. 1 nie obejmują danych osobowych ani informacji stanowiących tajemnicę przedsiębiorstwa.</w:t>
      </w:r>
    </w:p>
    <w:p w:rsidR="00EE67DD" w:rsidRDefault="00B552AF">
      <w:pPr>
        <w:pStyle w:val="Akapitzlist"/>
        <w:numPr>
          <w:ilvl w:val="0"/>
          <w:numId w:val="11"/>
        </w:numPr>
        <w:spacing w:after="140" w:line="276" w:lineRule="auto"/>
        <w:ind w:left="567" w:hanging="283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Sprawozdania, po zatwierdzeniu przez </w:t>
      </w:r>
      <w:r w:rsidRPr="00CE09BD">
        <w:rPr>
          <w:rFonts w:eastAsia="NSimSun"/>
          <w:kern w:val="2"/>
          <w:lang w:eastAsia="zh-CN" w:bidi="hi-IN"/>
        </w:rPr>
        <w:t>Komendanta Komisariatu Policji V</w:t>
      </w:r>
      <w:r w:rsidRPr="00CE09BD">
        <w:rPr>
          <w:rFonts w:eastAsia="NSimSun"/>
          <w:kern w:val="2"/>
          <w:lang w:eastAsia="zh-CN" w:bidi="hi-IN"/>
        </w:rPr>
        <w:br/>
        <w:t>w Gdańsku</w:t>
      </w:r>
      <w:r>
        <w:rPr>
          <w:rFonts w:eastAsia="NSimSun"/>
          <w:kern w:val="2"/>
          <w:lang w:eastAsia="zh-CN" w:bidi="hi-IN"/>
        </w:rPr>
        <w:t xml:space="preserve">, przekazywane są Rzecznikowi Praw Obywatelskich w terminie do dnia </w:t>
      </w:r>
      <w:r>
        <w:rPr>
          <w:rFonts w:eastAsia="NSimSun"/>
          <w:kern w:val="2"/>
          <w:lang w:eastAsia="zh-CN" w:bidi="hi-IN"/>
        </w:rPr>
        <w:br/>
        <w:t>31 marca roku następującego po roku, za który sprawozdanie jest sporządzane.</w:t>
      </w:r>
    </w:p>
    <w:p w:rsidR="00EE67DD" w:rsidRDefault="00B552AF">
      <w:pPr>
        <w:spacing w:beforeAutospacing="1" w:afterAutospacing="1"/>
        <w:jc w:val="both"/>
      </w:pPr>
      <w:r>
        <w:rPr>
          <w:rFonts w:eastAsia="NSimSun"/>
          <w:kern w:val="2"/>
          <w:lang w:eastAsia="zh-CN" w:bidi="hi-IN"/>
        </w:rPr>
        <w:lastRenderedPageBreak/>
        <w:t xml:space="preserve"> </w:t>
      </w:r>
      <w:r>
        <w:rPr>
          <w:b/>
          <w:bCs/>
        </w:rPr>
        <w:t>§ 13. Wzory dokumentów</w:t>
      </w:r>
    </w:p>
    <w:p w:rsidR="00EE67DD" w:rsidRDefault="00B552AF">
      <w:pPr>
        <w:spacing w:beforeAutospacing="1" w:line="276" w:lineRule="auto"/>
        <w:ind w:left="720"/>
        <w:jc w:val="both"/>
      </w:pPr>
      <w:r>
        <w:rPr>
          <w:bCs/>
        </w:rPr>
        <w:t>Wykaz wzorów dokumentów:</w:t>
      </w:r>
    </w:p>
    <w:p w:rsidR="00EE67DD" w:rsidRDefault="00B552AF">
      <w:pPr>
        <w:pStyle w:val="Akapitzlist"/>
        <w:numPr>
          <w:ilvl w:val="2"/>
          <w:numId w:val="19"/>
        </w:numPr>
        <w:spacing w:beforeAutospacing="1" w:line="276" w:lineRule="auto"/>
        <w:jc w:val="both"/>
      </w:pPr>
      <w:r>
        <w:t>Protokół przyjęcia zgłoszenia zewnętrznego;</w:t>
      </w:r>
    </w:p>
    <w:p w:rsidR="00EE67DD" w:rsidRDefault="00B552AF">
      <w:pPr>
        <w:pStyle w:val="Akapitzlist"/>
        <w:numPr>
          <w:ilvl w:val="2"/>
          <w:numId w:val="19"/>
        </w:numPr>
        <w:spacing w:line="276" w:lineRule="auto"/>
        <w:jc w:val="both"/>
      </w:pPr>
      <w:r>
        <w:t>Formularz zgłoszenia zewnętrznego;</w:t>
      </w:r>
    </w:p>
    <w:p w:rsidR="00EE67DD" w:rsidRDefault="00B552AF">
      <w:pPr>
        <w:pStyle w:val="Akapitzlist"/>
        <w:numPr>
          <w:ilvl w:val="2"/>
          <w:numId w:val="19"/>
        </w:numPr>
        <w:spacing w:line="276" w:lineRule="auto"/>
        <w:jc w:val="both"/>
      </w:pPr>
      <w:r>
        <w:t>Potwierdzenie przyjęcia lub odrzucenia zgłoszenia;</w:t>
      </w:r>
    </w:p>
    <w:p w:rsidR="00EE67DD" w:rsidRDefault="00B552AF">
      <w:pPr>
        <w:pStyle w:val="Akapitzlist"/>
        <w:numPr>
          <w:ilvl w:val="2"/>
          <w:numId w:val="19"/>
        </w:numPr>
        <w:spacing w:line="276" w:lineRule="auto"/>
        <w:jc w:val="both"/>
        <w:rPr>
          <w:color w:val="FF0000"/>
        </w:rPr>
      </w:pPr>
      <w:r>
        <w:t>Rejestr</w:t>
      </w:r>
      <w:r>
        <w:rPr>
          <w:color w:val="000000" w:themeColor="text1"/>
        </w:rPr>
        <w:t xml:space="preserve"> zgłoszeń zewnętrznych naruszeń prawa;</w:t>
      </w:r>
    </w:p>
    <w:p w:rsidR="00EE67DD" w:rsidRDefault="00B552AF">
      <w:pPr>
        <w:pStyle w:val="Akapitzlist"/>
        <w:numPr>
          <w:ilvl w:val="2"/>
          <w:numId w:val="19"/>
        </w:numPr>
        <w:spacing w:line="276" w:lineRule="auto"/>
        <w:jc w:val="both"/>
      </w:pPr>
      <w:r>
        <w:t xml:space="preserve">Upoważnienie do rozpatrywania zgłoszeń zewnętrznych </w:t>
      </w:r>
      <w:r>
        <w:br/>
        <w:t xml:space="preserve">i podejmowania działań następczych; </w:t>
      </w:r>
    </w:p>
    <w:p w:rsidR="00EE67DD" w:rsidRDefault="00B552AF">
      <w:pPr>
        <w:pStyle w:val="Akapitzlist"/>
        <w:numPr>
          <w:ilvl w:val="2"/>
          <w:numId w:val="19"/>
        </w:numPr>
        <w:spacing w:line="276" w:lineRule="auto"/>
        <w:jc w:val="both"/>
      </w:pPr>
      <w:r>
        <w:t>Oświadczenie o braku konfliktu interesów;</w:t>
      </w:r>
    </w:p>
    <w:p w:rsidR="00EE67DD" w:rsidRDefault="00B552AF">
      <w:pPr>
        <w:pStyle w:val="Akapitzlist"/>
        <w:numPr>
          <w:ilvl w:val="2"/>
          <w:numId w:val="19"/>
        </w:numPr>
        <w:spacing w:line="276" w:lineRule="auto"/>
        <w:jc w:val="both"/>
      </w:pPr>
      <w:r>
        <w:t>Karta nadzoru;</w:t>
      </w:r>
    </w:p>
    <w:p w:rsidR="00EE67DD" w:rsidRDefault="00B552AF">
      <w:pPr>
        <w:pStyle w:val="Akapitzlist"/>
        <w:numPr>
          <w:ilvl w:val="2"/>
          <w:numId w:val="19"/>
        </w:numPr>
        <w:spacing w:line="276" w:lineRule="auto"/>
        <w:jc w:val="both"/>
      </w:pPr>
      <w:r>
        <w:t>Protokół zniszczenia akt/danych osobowych sygnalisty;</w:t>
      </w:r>
    </w:p>
    <w:p w:rsidR="00EE67DD" w:rsidRDefault="00B552AF">
      <w:pPr>
        <w:pStyle w:val="Akapitzlist"/>
        <w:numPr>
          <w:ilvl w:val="2"/>
          <w:numId w:val="19"/>
        </w:numPr>
        <w:spacing w:line="276" w:lineRule="auto"/>
        <w:jc w:val="both"/>
      </w:pPr>
      <w:r>
        <w:t>Zaświadczenie o objęciu ochroną sygnalisty;</w:t>
      </w:r>
    </w:p>
    <w:p w:rsidR="00EE67DD" w:rsidRDefault="00B552AF">
      <w:pPr>
        <w:pStyle w:val="Akapitzlist"/>
        <w:numPr>
          <w:ilvl w:val="2"/>
          <w:numId w:val="19"/>
        </w:numPr>
        <w:spacing w:line="276" w:lineRule="auto"/>
        <w:jc w:val="both"/>
      </w:pPr>
      <w:r>
        <w:t>Pismo przewodnie;</w:t>
      </w:r>
    </w:p>
    <w:p w:rsidR="00EE67DD" w:rsidRDefault="00B552AF">
      <w:pPr>
        <w:pStyle w:val="Akapitzlist"/>
        <w:numPr>
          <w:ilvl w:val="2"/>
          <w:numId w:val="19"/>
        </w:numPr>
        <w:spacing w:line="276" w:lineRule="auto"/>
        <w:jc w:val="both"/>
      </w:pPr>
      <w:r>
        <w:t>RODO 1;</w:t>
      </w:r>
    </w:p>
    <w:p w:rsidR="00EE67DD" w:rsidRDefault="00B552AF">
      <w:pPr>
        <w:pStyle w:val="Akapitzlist"/>
        <w:numPr>
          <w:ilvl w:val="2"/>
          <w:numId w:val="19"/>
        </w:numPr>
        <w:spacing w:line="276" w:lineRule="auto"/>
        <w:jc w:val="both"/>
      </w:pPr>
      <w:r>
        <w:t>RODO 2.</w:t>
      </w:r>
    </w:p>
    <w:p w:rsidR="00EE67DD" w:rsidRDefault="00EE67DD">
      <w:pPr>
        <w:spacing w:after="140" w:line="276" w:lineRule="auto"/>
        <w:jc w:val="both"/>
        <w:rPr>
          <w:rFonts w:eastAsia="NSimSun"/>
          <w:kern w:val="2"/>
          <w:lang w:eastAsia="zh-CN" w:bidi="hi-IN"/>
        </w:rPr>
      </w:pPr>
    </w:p>
    <w:sectPr w:rsidR="00EE67DD" w:rsidSect="00EE67DD">
      <w:pgSz w:w="11906" w:h="16838"/>
      <w:pgMar w:top="1418" w:right="1418" w:bottom="1418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">
    <w:altName w:val="Calibri"/>
    <w:charset w:val="EE"/>
    <w:family w:val="roman"/>
    <w:pitch w:val="variable"/>
    <w:sig w:usb0="00000003" w:usb1="00000000" w:usb2="00000000" w:usb3="00000000" w:csb0="00000001" w:csb1="00000000"/>
  </w:font>
  <w:font w:name="SimSun">
    <w:altName w:val="??ˇ¦||||||||||||||||||||||||__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EB5"/>
    <w:multiLevelType w:val="multilevel"/>
    <w:tmpl w:val="A37EAD8C"/>
    <w:lvl w:ilvl="0">
      <w:start w:val="1"/>
      <w:numFmt w:val="decimal"/>
      <w:lvlText w:val="%1)"/>
      <w:lvlJc w:val="left"/>
      <w:pPr>
        <w:tabs>
          <w:tab w:val="num" w:pos="0"/>
        </w:tabs>
        <w:ind w:left="14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6" w:hanging="180"/>
      </w:pPr>
      <w:rPr>
        <w:rFonts w:cs="Times New Roman"/>
      </w:rPr>
    </w:lvl>
  </w:abstractNum>
  <w:abstractNum w:abstractNumId="1">
    <w:nsid w:val="0C555A8A"/>
    <w:multiLevelType w:val="multilevel"/>
    <w:tmpl w:val="3542A4C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>
    <w:nsid w:val="0CE27C3C"/>
    <w:multiLevelType w:val="multilevel"/>
    <w:tmpl w:val="DC5A2D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07F1197"/>
    <w:multiLevelType w:val="multilevel"/>
    <w:tmpl w:val="ED00B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21211418"/>
    <w:multiLevelType w:val="multilevel"/>
    <w:tmpl w:val="100AA5EE"/>
    <w:lvl w:ilvl="0">
      <w:start w:val="1"/>
      <w:numFmt w:val="decimal"/>
      <w:lvlText w:val="%1)"/>
      <w:lvlJc w:val="left"/>
      <w:pPr>
        <w:tabs>
          <w:tab w:val="num" w:pos="0"/>
        </w:tabs>
        <w:ind w:left="14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0" w:hanging="180"/>
      </w:pPr>
      <w:rPr>
        <w:rFonts w:cs="Times New Roman"/>
      </w:rPr>
    </w:lvl>
  </w:abstractNum>
  <w:abstractNum w:abstractNumId="5">
    <w:nsid w:val="2709451C"/>
    <w:multiLevelType w:val="multilevel"/>
    <w:tmpl w:val="2408B6D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279A679F"/>
    <w:multiLevelType w:val="multilevel"/>
    <w:tmpl w:val="0E5099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282D0558"/>
    <w:multiLevelType w:val="multilevel"/>
    <w:tmpl w:val="6D0A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165A82"/>
    <w:multiLevelType w:val="multilevel"/>
    <w:tmpl w:val="ED8CDC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2B1200B8"/>
    <w:multiLevelType w:val="multilevel"/>
    <w:tmpl w:val="91A28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795AED"/>
    <w:multiLevelType w:val="multilevel"/>
    <w:tmpl w:val="FE22F2C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1">
    <w:nsid w:val="4E123E6C"/>
    <w:multiLevelType w:val="multilevel"/>
    <w:tmpl w:val="D18A16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55241E8F"/>
    <w:multiLevelType w:val="multilevel"/>
    <w:tmpl w:val="3626D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560B3A09"/>
    <w:multiLevelType w:val="multilevel"/>
    <w:tmpl w:val="49DA8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B116DD0"/>
    <w:multiLevelType w:val="multilevel"/>
    <w:tmpl w:val="0A7EE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5D96043C"/>
    <w:multiLevelType w:val="multilevel"/>
    <w:tmpl w:val="1C9CE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674F0F31"/>
    <w:multiLevelType w:val="multilevel"/>
    <w:tmpl w:val="F794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C714C0"/>
    <w:multiLevelType w:val="multilevel"/>
    <w:tmpl w:val="6E04F8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72EC260E"/>
    <w:multiLevelType w:val="multilevel"/>
    <w:tmpl w:val="2296492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9">
    <w:nsid w:val="74B46BAE"/>
    <w:multiLevelType w:val="multilevel"/>
    <w:tmpl w:val="9ABE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F57B77"/>
    <w:multiLevelType w:val="multilevel"/>
    <w:tmpl w:val="B23AED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79D527A8"/>
    <w:multiLevelType w:val="multilevel"/>
    <w:tmpl w:val="340E47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7"/>
  </w:num>
  <w:num w:numId="5">
    <w:abstractNumId w:val="20"/>
  </w:num>
  <w:num w:numId="6">
    <w:abstractNumId w:val="14"/>
  </w:num>
  <w:num w:numId="7">
    <w:abstractNumId w:val="10"/>
  </w:num>
  <w:num w:numId="8">
    <w:abstractNumId w:val="4"/>
  </w:num>
  <w:num w:numId="9">
    <w:abstractNumId w:val="5"/>
  </w:num>
  <w:num w:numId="10">
    <w:abstractNumId w:val="19"/>
  </w:num>
  <w:num w:numId="11">
    <w:abstractNumId w:val="15"/>
  </w:num>
  <w:num w:numId="12">
    <w:abstractNumId w:val="1"/>
  </w:num>
  <w:num w:numId="13">
    <w:abstractNumId w:val="16"/>
  </w:num>
  <w:num w:numId="14">
    <w:abstractNumId w:val="3"/>
  </w:num>
  <w:num w:numId="15">
    <w:abstractNumId w:val="2"/>
  </w:num>
  <w:num w:numId="16">
    <w:abstractNumId w:val="9"/>
  </w:num>
  <w:num w:numId="17">
    <w:abstractNumId w:val="6"/>
  </w:num>
  <w:num w:numId="18">
    <w:abstractNumId w:val="11"/>
  </w:num>
  <w:num w:numId="19">
    <w:abstractNumId w:val="7"/>
  </w:num>
  <w:num w:numId="20">
    <w:abstractNumId w:val="18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425"/>
  <w:characterSpacingControl w:val="doNotCompress"/>
  <w:compat>
    <w:useFELayout/>
  </w:compat>
  <w:docVars>
    <w:docVar w:name="LE_Links" w:val="{9A54817A-DAF8-40A1-B150-B658D5CA344A}"/>
  </w:docVars>
  <w:rsids>
    <w:rsidRoot w:val="00EE67DD"/>
    <w:rsid w:val="00B552AF"/>
    <w:rsid w:val="00CE09BD"/>
    <w:rsid w:val="00EE67DD"/>
    <w:rsid w:val="00F1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="Times New Roman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A8F"/>
    <w:rPr>
      <w:rFonts w:ascii="Times New Roman" w:hAnsi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A1674C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A1674C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A1674C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A1674C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customStyle="1" w:styleId="Heading5">
    <w:name w:val="Heading 5"/>
    <w:basedOn w:val="Normalny"/>
    <w:next w:val="Normalny"/>
    <w:link w:val="Nagwek5Znak"/>
    <w:uiPriority w:val="9"/>
    <w:semiHidden/>
    <w:unhideWhenUsed/>
    <w:qFormat/>
    <w:rsid w:val="00A1674C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A1674C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customStyle="1" w:styleId="Heading7">
    <w:name w:val="Heading 7"/>
    <w:basedOn w:val="Normalny"/>
    <w:next w:val="Normalny"/>
    <w:link w:val="Nagwek7Znak"/>
    <w:uiPriority w:val="9"/>
    <w:semiHidden/>
    <w:unhideWhenUsed/>
    <w:qFormat/>
    <w:rsid w:val="00A1674C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A1674C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customStyle="1" w:styleId="Heading9">
    <w:name w:val="Heading 9"/>
    <w:basedOn w:val="Normalny"/>
    <w:next w:val="Normalny"/>
    <w:link w:val="Nagwek9Znak"/>
    <w:uiPriority w:val="9"/>
    <w:semiHidden/>
    <w:unhideWhenUsed/>
    <w:qFormat/>
    <w:rsid w:val="00A1674C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customStyle="1" w:styleId="Nagwek1Znak">
    <w:name w:val="Nagłówek 1 Znak"/>
    <w:basedOn w:val="Domylnaczcionkaakapitu"/>
    <w:link w:val="Heading1"/>
    <w:uiPriority w:val="9"/>
    <w:qFormat/>
    <w:locked/>
    <w:rsid w:val="00A1674C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locked/>
    <w:rsid w:val="00A1674C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locked/>
    <w:rsid w:val="00A1674C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locked/>
    <w:rsid w:val="00A1674C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locked/>
    <w:rsid w:val="00A1674C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locked/>
    <w:rsid w:val="00A1674C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locked/>
    <w:rsid w:val="00A1674C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locked/>
    <w:rsid w:val="00A1674C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locked/>
    <w:rsid w:val="00A1674C"/>
    <w:rPr>
      <w:rFonts w:eastAsiaTheme="majorEastAsia" w:cs="Times New Roman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locked/>
    <w:rsid w:val="00A1674C"/>
    <w:rPr>
      <w:rFonts w:asciiTheme="majorHAnsi" w:eastAsiaTheme="majorEastAsia" w:hAnsiTheme="majorHAnsi" w:cs="Times New Roman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locked/>
    <w:rsid w:val="00A1674C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locked/>
    <w:rsid w:val="00A1674C"/>
    <w:rPr>
      <w:rFonts w:cs="Times New Roman"/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1674C"/>
    <w:rPr>
      <w:rFonts w:cs="Times New Roman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locked/>
    <w:rsid w:val="00A1674C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74C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054D"/>
    <w:rPr>
      <w:rFonts w:cs="Times New Roman"/>
      <w:color w:val="FF0000"/>
      <w:u w:val="single" w:color="FF0000"/>
    </w:rPr>
  </w:style>
  <w:style w:type="character" w:customStyle="1" w:styleId="NagwekZnak">
    <w:name w:val="Nagłówek Znak"/>
    <w:basedOn w:val="Domylnaczcionkaakapitu"/>
    <w:link w:val="Header"/>
    <w:uiPriority w:val="99"/>
    <w:qFormat/>
    <w:locked/>
    <w:rsid w:val="00FC0CE8"/>
    <w:rPr>
      <w:rFonts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locked/>
    <w:rsid w:val="00FC0CE8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612DA"/>
    <w:rPr>
      <w:rFonts w:cs="Times New Roman"/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B3BAC"/>
    <w:rPr>
      <w:rFonts w:ascii="Segoe UI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EE67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E67DD"/>
    <w:pPr>
      <w:spacing w:after="140" w:line="276" w:lineRule="auto"/>
    </w:pPr>
  </w:style>
  <w:style w:type="paragraph" w:styleId="Lista">
    <w:name w:val="List"/>
    <w:basedOn w:val="Tekstpodstawowy"/>
    <w:rsid w:val="00EE67DD"/>
    <w:rPr>
      <w:rFonts w:cs="Arial"/>
    </w:rPr>
  </w:style>
  <w:style w:type="paragraph" w:customStyle="1" w:styleId="Caption">
    <w:name w:val="Caption"/>
    <w:basedOn w:val="Normalny"/>
    <w:qFormat/>
    <w:rsid w:val="00EE67D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E67DD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A1674C"/>
    <w:pPr>
      <w:spacing w:after="80"/>
      <w:contextualSpacing/>
    </w:pPr>
    <w:rPr>
      <w:rFonts w:asciiTheme="majorHAns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74C"/>
    <w:rPr>
      <w:rFonts w:eastAsiaTheme="majorEastAsia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74C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74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74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  <w:rsid w:val="00EE67DD"/>
  </w:style>
  <w:style w:type="paragraph" w:customStyle="1" w:styleId="Header">
    <w:name w:val="Header"/>
    <w:basedOn w:val="Normalny"/>
    <w:link w:val="NagwekZnak"/>
    <w:uiPriority w:val="99"/>
    <w:unhideWhenUsed/>
    <w:rsid w:val="00FC0CE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FC0CE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B34A8F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B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3496</Words>
  <Characters>20979</Characters>
  <Application>Microsoft Office Word</Application>
  <DocSecurity>0</DocSecurity>
  <Lines>174</Lines>
  <Paragraphs>48</Paragraphs>
  <ScaleCrop>false</ScaleCrop>
  <Company>HP</Company>
  <LinksUpToDate>false</LinksUpToDate>
  <CharactersWithSpaces>24427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Rosler-Borakiewicz</dc:creator>
  <cp:lastModifiedBy>568859</cp:lastModifiedBy>
  <cp:revision>3</cp:revision>
  <cp:lastPrinted>2024-12-09T13:24:00Z</cp:lastPrinted>
  <dcterms:created xsi:type="dcterms:W3CDTF">2025-04-14T05:37:00Z</dcterms:created>
  <dcterms:modified xsi:type="dcterms:W3CDTF">2025-04-14T08:55:00Z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ZNAKI:">
    <vt:lpwstr>16361</vt:lpwstr>
  </property>
  <property fmtid="{D5CDD505-2E9C-101B-9397-08002B2CF9AE}" pid="4" name="wk_stat:linki:liczba">
    <vt:lpwstr>0</vt:lpwstr>
  </property>
  <property fmtid="{D5CDD505-2E9C-101B-9397-08002B2CF9AE}" pid="5" name="wk_stat:zapis">
    <vt:lpwstr>2024-08-13 10:38:37</vt:lpwstr>
  </property>
  <property fmtid="{D5CDD505-2E9C-101B-9397-08002B2CF9AE}" pid="6" name="wk_stat:znaki:liczba">
    <vt:lpwstr>16361</vt:lpwstr>
  </property>
</Properties>
</file>